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7F9" w:rsidRDefault="000277F9">
      <w:pPr>
        <w:spacing w:after="0" w:line="259" w:lineRule="auto"/>
        <w:ind w:left="269" w:right="0" w:firstLine="0"/>
        <w:rPr>
          <w:b/>
        </w:rPr>
      </w:pPr>
    </w:p>
    <w:p w:rsidR="000277F9" w:rsidRDefault="000277F9">
      <w:pPr>
        <w:spacing w:after="0" w:line="259" w:lineRule="auto"/>
        <w:ind w:left="269" w:right="0" w:firstLine="0"/>
        <w:rPr>
          <w:b/>
        </w:rPr>
      </w:pPr>
    </w:p>
    <w:p w:rsidR="007F2B7A" w:rsidRDefault="00A453B1">
      <w:pPr>
        <w:spacing w:after="0" w:line="259" w:lineRule="auto"/>
        <w:ind w:left="269" w:right="0" w:firstLine="0"/>
      </w:pPr>
      <w:r>
        <w:rPr>
          <w:b/>
        </w:rPr>
        <w:t xml:space="preserve"> </w:t>
      </w:r>
    </w:p>
    <w:p w:rsidR="009D097E" w:rsidRDefault="009D097E">
      <w:pPr>
        <w:tabs>
          <w:tab w:val="center" w:pos="269"/>
          <w:tab w:val="right" w:pos="9293"/>
        </w:tabs>
        <w:spacing w:after="0" w:line="259" w:lineRule="auto"/>
        <w:ind w:left="0" w:right="-15" w:firstLine="0"/>
        <w:rPr>
          <w:sz w:val="28"/>
        </w:rPr>
      </w:pPr>
    </w:p>
    <w:p w:rsidR="007F2B7A" w:rsidRPr="00FB7D27" w:rsidRDefault="002B0B0A">
      <w:pPr>
        <w:tabs>
          <w:tab w:val="center" w:pos="269"/>
          <w:tab w:val="right" w:pos="9293"/>
        </w:tabs>
        <w:spacing w:after="0" w:line="259" w:lineRule="auto"/>
        <w:ind w:left="0" w:right="-15" w:firstLine="0"/>
      </w:pPr>
      <w:r>
        <w:rPr>
          <w:sz w:val="28"/>
        </w:rPr>
        <w:t>O</w:t>
      </w:r>
      <w:r w:rsidR="00A453B1" w:rsidRPr="00FB7D27">
        <w:rPr>
          <w:sz w:val="28"/>
        </w:rPr>
        <w:t>PEN DISCLOSURE POLICY</w:t>
      </w:r>
      <w:r w:rsidR="00CA3192">
        <w:rPr>
          <w:sz w:val="28"/>
        </w:rPr>
        <w:t>:</w:t>
      </w:r>
      <w:bookmarkStart w:id="0" w:name="_GoBack"/>
      <w:bookmarkEnd w:id="0"/>
      <w:r w:rsidR="00A453B1" w:rsidRPr="00FB7D27">
        <w:rPr>
          <w:sz w:val="28"/>
        </w:rPr>
        <w:t xml:space="preserve"> </w:t>
      </w:r>
      <w:r>
        <w:rPr>
          <w:sz w:val="28"/>
        </w:rPr>
        <w:t xml:space="preserve">                           </w:t>
      </w:r>
    </w:p>
    <w:p w:rsidR="007F2B7A" w:rsidRDefault="00A453B1">
      <w:pPr>
        <w:tabs>
          <w:tab w:val="center" w:pos="269"/>
          <w:tab w:val="center" w:pos="8793"/>
          <w:tab w:val="right" w:pos="9293"/>
        </w:tabs>
        <w:spacing w:after="115" w:line="259" w:lineRule="auto"/>
        <w:ind w:left="0" w:right="-15" w:firstLine="0"/>
      </w:pPr>
      <w:r w:rsidRPr="00FB7D27">
        <w:rPr>
          <w:sz w:val="22"/>
        </w:rPr>
        <w:tab/>
      </w:r>
      <w:r w:rsidR="00FB7D27" w:rsidRPr="00FB7D27">
        <w:rPr>
          <w:sz w:val="28"/>
        </w:rPr>
        <w:t xml:space="preserve"> </w:t>
      </w:r>
      <w:r w:rsidR="00FB7D27" w:rsidRPr="00FB7D27">
        <w:rPr>
          <w:sz w:val="28"/>
        </w:rPr>
        <w:tab/>
      </w:r>
      <w:r>
        <w:rPr>
          <w:b/>
        </w:rPr>
        <w:tab/>
      </w:r>
      <w:r>
        <w:rPr>
          <w:rFonts w:ascii="Times New Roman" w:eastAsia="Times New Roman" w:hAnsi="Times New Roman" w:cs="Times New Roman"/>
        </w:rPr>
        <w:t xml:space="preserve"> </w:t>
      </w:r>
    </w:p>
    <w:p w:rsidR="007F2B7A" w:rsidRDefault="00A453B1">
      <w:pPr>
        <w:spacing w:after="0" w:line="259" w:lineRule="auto"/>
        <w:ind w:left="269" w:right="0" w:firstLine="0"/>
      </w:pPr>
      <w:r>
        <w:rPr>
          <w:b/>
        </w:rPr>
        <w:t xml:space="preserve"> </w:t>
      </w:r>
      <w:r>
        <w:rPr>
          <w:b/>
        </w:rPr>
        <w:tab/>
        <w:t xml:space="preserve"> </w:t>
      </w:r>
      <w:r>
        <w:rPr>
          <w:b/>
        </w:rPr>
        <w:tab/>
      </w: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tbl>
      <w:tblPr>
        <w:tblStyle w:val="TableGrid"/>
        <w:tblpPr w:vertAnchor="text" w:tblpY="1225"/>
        <w:tblOverlap w:val="never"/>
        <w:tblW w:w="9098" w:type="dxa"/>
        <w:tblInd w:w="0" w:type="dxa"/>
        <w:tblLook w:val="04A0" w:firstRow="1" w:lastRow="0" w:firstColumn="1" w:lastColumn="0" w:noHBand="0" w:noVBand="1"/>
      </w:tblPr>
      <w:tblGrid>
        <w:gridCol w:w="3227"/>
        <w:gridCol w:w="5871"/>
      </w:tblGrid>
      <w:tr w:rsidR="00FB7D27" w:rsidRPr="00225AD5" w:rsidTr="00051295">
        <w:trPr>
          <w:trHeight w:val="555"/>
        </w:trPr>
        <w:tc>
          <w:tcPr>
            <w:tcW w:w="3227"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Subject: </w:t>
            </w:r>
          </w:p>
        </w:tc>
        <w:tc>
          <w:tcPr>
            <w:tcW w:w="5871" w:type="dxa"/>
            <w:tcBorders>
              <w:top w:val="nil"/>
              <w:left w:val="nil"/>
              <w:bottom w:val="nil"/>
              <w:right w:val="nil"/>
            </w:tcBorders>
          </w:tcPr>
          <w:p w:rsidR="00FB7D27" w:rsidRPr="00225AD5" w:rsidRDefault="002638FA" w:rsidP="00051295">
            <w:pPr>
              <w:spacing w:after="0" w:line="259" w:lineRule="auto"/>
              <w:ind w:left="0" w:firstLine="0"/>
              <w:rPr>
                <w:sz w:val="20"/>
                <w:szCs w:val="20"/>
              </w:rPr>
            </w:pPr>
            <w:r>
              <w:rPr>
                <w:sz w:val="20"/>
                <w:szCs w:val="20"/>
              </w:rPr>
              <w:t>Open Disclosure Policy</w:t>
            </w:r>
          </w:p>
          <w:p w:rsidR="00FB7D27" w:rsidRPr="00225AD5" w:rsidRDefault="00FB7D27" w:rsidP="00051295">
            <w:pPr>
              <w:spacing w:after="0" w:line="259" w:lineRule="auto"/>
              <w:ind w:left="0" w:firstLine="0"/>
              <w:rPr>
                <w:sz w:val="20"/>
                <w:szCs w:val="20"/>
              </w:rPr>
            </w:pPr>
            <w:r w:rsidRPr="00225AD5">
              <w:rPr>
                <w:sz w:val="20"/>
                <w:szCs w:val="20"/>
              </w:rPr>
              <w:t xml:space="preserve"> </w:t>
            </w:r>
          </w:p>
        </w:tc>
      </w:tr>
      <w:tr w:rsidR="00FB7D27" w:rsidRPr="00225AD5" w:rsidTr="00051295">
        <w:trPr>
          <w:trHeight w:val="1383"/>
        </w:trPr>
        <w:tc>
          <w:tcPr>
            <w:tcW w:w="3227"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Scope of Policy:  </w:t>
            </w:r>
          </w:p>
        </w:tc>
        <w:tc>
          <w:tcPr>
            <w:tcW w:w="5871" w:type="dxa"/>
            <w:tcBorders>
              <w:top w:val="nil"/>
              <w:left w:val="nil"/>
              <w:bottom w:val="nil"/>
              <w:right w:val="nil"/>
            </w:tcBorders>
          </w:tcPr>
          <w:p w:rsidR="00FB7D27" w:rsidRPr="002638FA" w:rsidRDefault="002638FA" w:rsidP="00051295">
            <w:pPr>
              <w:spacing w:after="0" w:line="259" w:lineRule="auto"/>
              <w:ind w:left="0" w:firstLine="0"/>
              <w:rPr>
                <w:sz w:val="22"/>
              </w:rPr>
            </w:pPr>
            <w:r w:rsidRPr="002638FA">
              <w:rPr>
                <w:sz w:val="22"/>
              </w:rPr>
              <w:t xml:space="preserve">To define the hospitals standard of Open disclosure into all operational areas where a patient or their significant other requires any communication </w:t>
            </w:r>
            <w:proofErr w:type="gramStart"/>
            <w:r w:rsidRPr="002638FA">
              <w:rPr>
                <w:sz w:val="22"/>
              </w:rPr>
              <w:t>in regard to</w:t>
            </w:r>
            <w:proofErr w:type="gramEnd"/>
            <w:r w:rsidRPr="002638FA">
              <w:rPr>
                <w:sz w:val="22"/>
              </w:rPr>
              <w:t xml:space="preserve"> their episode of stay or clinical continuum.</w:t>
            </w:r>
          </w:p>
        </w:tc>
      </w:tr>
      <w:tr w:rsidR="00FB7D27" w:rsidRPr="00225AD5" w:rsidTr="00051295">
        <w:trPr>
          <w:trHeight w:val="555"/>
        </w:trPr>
        <w:tc>
          <w:tcPr>
            <w:tcW w:w="3227"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Responsible for Review: </w:t>
            </w:r>
          </w:p>
        </w:tc>
        <w:tc>
          <w:tcPr>
            <w:tcW w:w="5871"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Hospital Executive </w:t>
            </w:r>
          </w:p>
          <w:p w:rsidR="00FB7D27" w:rsidRPr="00225AD5" w:rsidRDefault="00FB7D27" w:rsidP="00051295">
            <w:pPr>
              <w:spacing w:after="0" w:line="259" w:lineRule="auto"/>
              <w:ind w:left="0" w:firstLine="0"/>
              <w:rPr>
                <w:sz w:val="20"/>
                <w:szCs w:val="20"/>
              </w:rPr>
            </w:pPr>
            <w:r w:rsidRPr="00225AD5">
              <w:rPr>
                <w:sz w:val="20"/>
                <w:szCs w:val="20"/>
              </w:rPr>
              <w:t xml:space="preserve"> </w:t>
            </w:r>
          </w:p>
        </w:tc>
      </w:tr>
      <w:tr w:rsidR="00FB7D27" w:rsidRPr="00225AD5" w:rsidTr="00051295">
        <w:trPr>
          <w:trHeight w:val="552"/>
        </w:trPr>
        <w:tc>
          <w:tcPr>
            <w:tcW w:w="3227" w:type="dxa"/>
            <w:tcBorders>
              <w:top w:val="nil"/>
              <w:left w:val="nil"/>
              <w:bottom w:val="nil"/>
              <w:right w:val="nil"/>
            </w:tcBorders>
          </w:tcPr>
          <w:p w:rsidR="00FB7D27" w:rsidRPr="00225AD5" w:rsidRDefault="00FB7D27" w:rsidP="00051295">
            <w:pPr>
              <w:tabs>
                <w:tab w:val="center" w:pos="1441"/>
              </w:tabs>
              <w:spacing w:after="0" w:line="259" w:lineRule="auto"/>
              <w:ind w:left="0" w:firstLine="0"/>
              <w:rPr>
                <w:sz w:val="20"/>
                <w:szCs w:val="20"/>
              </w:rPr>
            </w:pPr>
            <w:r w:rsidRPr="00225AD5">
              <w:rPr>
                <w:sz w:val="20"/>
                <w:szCs w:val="20"/>
              </w:rPr>
              <w:t xml:space="preserve">Approved by: </w:t>
            </w:r>
            <w:r w:rsidRPr="00225AD5">
              <w:rPr>
                <w:sz w:val="20"/>
                <w:szCs w:val="20"/>
              </w:rPr>
              <w:tab/>
              <w:t xml:space="preserve"> </w:t>
            </w:r>
          </w:p>
        </w:tc>
        <w:tc>
          <w:tcPr>
            <w:tcW w:w="5871"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Hospital Executive </w:t>
            </w:r>
          </w:p>
          <w:p w:rsidR="00FB7D27" w:rsidRPr="00225AD5" w:rsidRDefault="00FB7D27" w:rsidP="00051295">
            <w:pPr>
              <w:spacing w:after="0" w:line="259" w:lineRule="auto"/>
              <w:ind w:left="0" w:firstLine="0"/>
              <w:rPr>
                <w:sz w:val="20"/>
                <w:szCs w:val="20"/>
              </w:rPr>
            </w:pPr>
            <w:r w:rsidRPr="00225AD5">
              <w:rPr>
                <w:sz w:val="20"/>
                <w:szCs w:val="20"/>
              </w:rPr>
              <w:t xml:space="preserve"> </w:t>
            </w:r>
          </w:p>
        </w:tc>
      </w:tr>
      <w:tr w:rsidR="00FB7D27" w:rsidRPr="00225AD5" w:rsidTr="00051295">
        <w:trPr>
          <w:trHeight w:val="554"/>
        </w:trPr>
        <w:tc>
          <w:tcPr>
            <w:tcW w:w="3227" w:type="dxa"/>
            <w:tcBorders>
              <w:top w:val="nil"/>
              <w:left w:val="nil"/>
              <w:bottom w:val="nil"/>
              <w:right w:val="nil"/>
            </w:tcBorders>
          </w:tcPr>
          <w:p w:rsidR="00FB7D27" w:rsidRPr="00225AD5" w:rsidRDefault="00FB7D27" w:rsidP="00051295">
            <w:pPr>
              <w:tabs>
                <w:tab w:val="center" w:pos="1441"/>
              </w:tabs>
              <w:spacing w:after="0" w:line="259" w:lineRule="auto"/>
              <w:ind w:left="0" w:firstLine="0"/>
              <w:rPr>
                <w:sz w:val="20"/>
                <w:szCs w:val="20"/>
              </w:rPr>
            </w:pPr>
            <w:r w:rsidRPr="00225AD5">
              <w:rPr>
                <w:sz w:val="20"/>
                <w:szCs w:val="20"/>
              </w:rPr>
              <w:t xml:space="preserve">Distribution: </w:t>
            </w:r>
            <w:r w:rsidRPr="00225AD5">
              <w:rPr>
                <w:sz w:val="20"/>
                <w:szCs w:val="20"/>
              </w:rPr>
              <w:tab/>
              <w:t xml:space="preserve"> </w:t>
            </w:r>
          </w:p>
        </w:tc>
        <w:tc>
          <w:tcPr>
            <w:tcW w:w="5871"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Hospital-Wide </w:t>
            </w:r>
          </w:p>
          <w:p w:rsidR="00FB7D27" w:rsidRPr="00225AD5" w:rsidRDefault="00FB7D27" w:rsidP="00051295">
            <w:pPr>
              <w:spacing w:after="0" w:line="259" w:lineRule="auto"/>
              <w:ind w:left="0" w:firstLine="0"/>
              <w:rPr>
                <w:sz w:val="20"/>
                <w:szCs w:val="20"/>
              </w:rPr>
            </w:pPr>
            <w:r w:rsidRPr="00225AD5">
              <w:rPr>
                <w:sz w:val="20"/>
                <w:szCs w:val="20"/>
              </w:rPr>
              <w:t xml:space="preserve"> </w:t>
            </w:r>
          </w:p>
        </w:tc>
      </w:tr>
      <w:tr w:rsidR="00FB7D27" w:rsidRPr="00225AD5" w:rsidTr="00051295">
        <w:trPr>
          <w:trHeight w:val="1107"/>
        </w:trPr>
        <w:tc>
          <w:tcPr>
            <w:tcW w:w="3227" w:type="dxa"/>
            <w:tcBorders>
              <w:top w:val="nil"/>
              <w:left w:val="nil"/>
              <w:bottom w:val="nil"/>
              <w:right w:val="nil"/>
            </w:tcBorders>
          </w:tcPr>
          <w:p w:rsidR="00FB7D27" w:rsidRDefault="00FB7D27" w:rsidP="00051295">
            <w:pPr>
              <w:spacing w:after="0" w:line="259" w:lineRule="auto"/>
              <w:ind w:left="0" w:firstLine="0"/>
              <w:rPr>
                <w:sz w:val="20"/>
                <w:szCs w:val="20"/>
              </w:rPr>
            </w:pPr>
            <w:r w:rsidRPr="00225AD5">
              <w:rPr>
                <w:sz w:val="20"/>
                <w:szCs w:val="20"/>
              </w:rPr>
              <w:t xml:space="preserve">Location: </w:t>
            </w:r>
          </w:p>
          <w:p w:rsidR="00FB7D27" w:rsidRDefault="00FB7D27" w:rsidP="00051295">
            <w:pPr>
              <w:spacing w:after="0" w:line="259" w:lineRule="auto"/>
              <w:ind w:left="0" w:firstLine="0"/>
              <w:rPr>
                <w:sz w:val="20"/>
                <w:szCs w:val="20"/>
              </w:rPr>
            </w:pPr>
          </w:p>
          <w:p w:rsidR="00FB7D27" w:rsidRDefault="00FB7D27" w:rsidP="00051295">
            <w:pPr>
              <w:spacing w:after="0" w:line="259" w:lineRule="auto"/>
              <w:ind w:left="0" w:firstLine="0"/>
              <w:rPr>
                <w:sz w:val="20"/>
                <w:szCs w:val="20"/>
              </w:rPr>
            </w:pPr>
          </w:p>
          <w:p w:rsidR="00FB7D27" w:rsidRDefault="00FB7D27" w:rsidP="00051295">
            <w:pPr>
              <w:spacing w:after="0" w:line="259" w:lineRule="auto"/>
              <w:ind w:left="0" w:firstLine="0"/>
              <w:rPr>
                <w:sz w:val="20"/>
                <w:szCs w:val="20"/>
              </w:rPr>
            </w:pPr>
          </w:p>
          <w:p w:rsidR="00FB7D27" w:rsidRPr="00225AD5" w:rsidRDefault="00FB7D27" w:rsidP="00051295">
            <w:pPr>
              <w:spacing w:after="0" w:line="259" w:lineRule="auto"/>
              <w:ind w:left="0" w:firstLine="0"/>
              <w:rPr>
                <w:sz w:val="20"/>
                <w:szCs w:val="20"/>
              </w:rPr>
            </w:pPr>
            <w:r>
              <w:rPr>
                <w:sz w:val="20"/>
                <w:szCs w:val="20"/>
              </w:rPr>
              <w:t>National Standards:</w:t>
            </w:r>
          </w:p>
        </w:tc>
        <w:tc>
          <w:tcPr>
            <w:tcW w:w="5871" w:type="dxa"/>
            <w:tcBorders>
              <w:top w:val="nil"/>
              <w:left w:val="nil"/>
              <w:bottom w:val="nil"/>
              <w:right w:val="nil"/>
            </w:tcBorders>
          </w:tcPr>
          <w:p w:rsidR="00FB7D27" w:rsidRPr="00225AD5" w:rsidRDefault="00FB7D27" w:rsidP="002638FA">
            <w:pPr>
              <w:spacing w:after="0" w:line="238" w:lineRule="auto"/>
              <w:ind w:left="0" w:firstLine="0"/>
              <w:rPr>
                <w:sz w:val="20"/>
                <w:szCs w:val="20"/>
              </w:rPr>
            </w:pPr>
            <w:proofErr w:type="spellStart"/>
            <w:r w:rsidRPr="00225AD5">
              <w:rPr>
                <w:sz w:val="20"/>
                <w:szCs w:val="20"/>
              </w:rPr>
              <w:t>IPHoA</w:t>
            </w:r>
            <w:proofErr w:type="spellEnd"/>
            <w:r w:rsidRPr="00225AD5">
              <w:rPr>
                <w:sz w:val="20"/>
                <w:szCs w:val="20"/>
              </w:rPr>
              <w:t xml:space="preserve"> – The </w:t>
            </w:r>
            <w:r w:rsidR="00FF5173">
              <w:rPr>
                <w:sz w:val="20"/>
                <w:szCs w:val="20"/>
              </w:rPr>
              <w:t>Malvern</w:t>
            </w:r>
            <w:r w:rsidRPr="00225AD5">
              <w:rPr>
                <w:sz w:val="20"/>
                <w:szCs w:val="20"/>
              </w:rPr>
              <w:t xml:space="preserve"> Private Hospital </w:t>
            </w:r>
            <w:r w:rsidR="002638FA">
              <w:rPr>
                <w:sz w:val="20"/>
                <w:szCs w:val="20"/>
              </w:rPr>
              <w:t xml:space="preserve"> - Organisational Governance</w:t>
            </w:r>
          </w:p>
          <w:p w:rsidR="00FB7D27" w:rsidRDefault="00FB7D27" w:rsidP="00051295">
            <w:pPr>
              <w:spacing w:after="0" w:line="259" w:lineRule="auto"/>
              <w:ind w:left="0" w:firstLine="0"/>
              <w:rPr>
                <w:sz w:val="20"/>
                <w:szCs w:val="20"/>
              </w:rPr>
            </w:pPr>
            <w:r w:rsidRPr="00225AD5">
              <w:rPr>
                <w:sz w:val="20"/>
                <w:szCs w:val="20"/>
              </w:rPr>
              <w:t xml:space="preserve"> </w:t>
            </w:r>
          </w:p>
          <w:p w:rsidR="00FB7D27" w:rsidRDefault="00FB7D27" w:rsidP="00051295">
            <w:pPr>
              <w:spacing w:after="0" w:line="259" w:lineRule="auto"/>
              <w:ind w:left="0" w:firstLine="0"/>
              <w:rPr>
                <w:sz w:val="20"/>
                <w:szCs w:val="20"/>
              </w:rPr>
            </w:pPr>
          </w:p>
          <w:p w:rsidR="00FB7D27" w:rsidRDefault="00FB7D27" w:rsidP="00051295">
            <w:pPr>
              <w:spacing w:after="0" w:line="259" w:lineRule="auto"/>
              <w:ind w:left="0" w:firstLine="0"/>
              <w:rPr>
                <w:sz w:val="20"/>
                <w:szCs w:val="20"/>
              </w:rPr>
            </w:pPr>
            <w:r>
              <w:rPr>
                <w:sz w:val="20"/>
                <w:szCs w:val="20"/>
              </w:rPr>
              <w:t>Standard 1- Governance</w:t>
            </w:r>
          </w:p>
          <w:p w:rsidR="00FB7D27" w:rsidRDefault="00FB7D27" w:rsidP="00051295">
            <w:pPr>
              <w:spacing w:after="0" w:line="259" w:lineRule="auto"/>
              <w:ind w:left="0" w:firstLine="0"/>
              <w:rPr>
                <w:sz w:val="20"/>
                <w:szCs w:val="20"/>
              </w:rPr>
            </w:pPr>
          </w:p>
          <w:p w:rsidR="00FB7D27" w:rsidRPr="00225AD5" w:rsidRDefault="00FB7D27" w:rsidP="00051295">
            <w:pPr>
              <w:spacing w:after="0" w:line="259" w:lineRule="auto"/>
              <w:ind w:left="0" w:firstLine="0"/>
              <w:rPr>
                <w:sz w:val="20"/>
                <w:szCs w:val="20"/>
              </w:rPr>
            </w:pPr>
          </w:p>
        </w:tc>
      </w:tr>
      <w:tr w:rsidR="00FB7D27" w:rsidRPr="00225AD5" w:rsidTr="00051295">
        <w:trPr>
          <w:trHeight w:val="251"/>
        </w:trPr>
        <w:tc>
          <w:tcPr>
            <w:tcW w:w="3227"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 </w:t>
            </w:r>
          </w:p>
        </w:tc>
        <w:tc>
          <w:tcPr>
            <w:tcW w:w="5871" w:type="dxa"/>
            <w:tcBorders>
              <w:top w:val="nil"/>
              <w:left w:val="nil"/>
              <w:bottom w:val="nil"/>
              <w:right w:val="nil"/>
            </w:tcBorders>
          </w:tcPr>
          <w:p w:rsidR="00FB7D27" w:rsidRPr="00225AD5" w:rsidRDefault="00FB7D27" w:rsidP="00051295">
            <w:pPr>
              <w:spacing w:after="0" w:line="259" w:lineRule="auto"/>
              <w:ind w:left="0" w:firstLine="0"/>
              <w:rPr>
                <w:sz w:val="20"/>
                <w:szCs w:val="20"/>
              </w:rPr>
            </w:pPr>
            <w:r w:rsidRPr="00225AD5">
              <w:rPr>
                <w:sz w:val="20"/>
                <w:szCs w:val="20"/>
              </w:rPr>
              <w:t xml:space="preserve"> </w:t>
            </w:r>
          </w:p>
        </w:tc>
      </w:tr>
    </w:tbl>
    <w:p w:rsidR="00FB7D27" w:rsidRPr="002F1079" w:rsidRDefault="00FB7D27" w:rsidP="00FB7D27">
      <w:pPr>
        <w:tabs>
          <w:tab w:val="right" w:pos="9033"/>
        </w:tabs>
        <w:spacing w:after="460" w:line="259" w:lineRule="auto"/>
        <w:ind w:left="-675" w:firstLine="0"/>
        <w:jc w:val="right"/>
        <w:rPr>
          <w:szCs w:val="20"/>
        </w:rPr>
      </w:pPr>
      <w:r w:rsidRPr="002F1079">
        <w:rPr>
          <w:noProof/>
          <w:szCs w:val="20"/>
        </w:rPr>
        <mc:AlternateContent>
          <mc:Choice Requires="wpg">
            <w:drawing>
              <wp:anchor distT="0" distB="0" distL="114300" distR="114300" simplePos="0" relativeHeight="251660288" behindDoc="0" locked="0" layoutInCell="1" allowOverlap="1" wp14:anchorId="2FD86F74" wp14:editId="1D3870C9">
                <wp:simplePos x="0" y="0"/>
                <wp:positionH relativeFrom="column">
                  <wp:posOffset>-70103</wp:posOffset>
                </wp:positionH>
                <wp:positionV relativeFrom="paragraph">
                  <wp:posOffset>4257040</wp:posOffset>
                </wp:positionV>
                <wp:extent cx="5924754" cy="6096"/>
                <wp:effectExtent l="0" t="0" r="0" b="0"/>
                <wp:wrapSquare wrapText="bothSides"/>
                <wp:docPr id="2853" name="Group 2853"/>
                <wp:cNvGraphicFramePr/>
                <a:graphic xmlns:a="http://schemas.openxmlformats.org/drawingml/2006/main">
                  <a:graphicData uri="http://schemas.microsoft.com/office/word/2010/wordprocessingGroup">
                    <wpg:wgp>
                      <wpg:cNvGrpSpPr/>
                      <wpg:grpSpPr>
                        <a:xfrm>
                          <a:off x="0" y="0"/>
                          <a:ext cx="5924754" cy="6096"/>
                          <a:chOff x="0" y="0"/>
                          <a:chExt cx="5924754" cy="6096"/>
                        </a:xfrm>
                      </wpg:grpSpPr>
                      <wps:wsp>
                        <wps:cNvPr id="4153" name="Shape 4153"/>
                        <wps:cNvSpPr/>
                        <wps:spPr>
                          <a:xfrm>
                            <a:off x="0" y="0"/>
                            <a:ext cx="2052193" cy="9144"/>
                          </a:xfrm>
                          <a:custGeom>
                            <a:avLst/>
                            <a:gdLst/>
                            <a:ahLst/>
                            <a:cxnLst/>
                            <a:rect l="0" t="0" r="0" b="0"/>
                            <a:pathLst>
                              <a:path w="2052193" h="9144">
                                <a:moveTo>
                                  <a:pt x="0" y="0"/>
                                </a:moveTo>
                                <a:lnTo>
                                  <a:pt x="2052193" y="0"/>
                                </a:lnTo>
                                <a:lnTo>
                                  <a:pt x="20521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4" name="Shape 4154"/>
                        <wps:cNvSpPr/>
                        <wps:spPr>
                          <a:xfrm>
                            <a:off x="20522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5" name="Shape 4155"/>
                        <wps:cNvSpPr/>
                        <wps:spPr>
                          <a:xfrm>
                            <a:off x="2058365" y="0"/>
                            <a:ext cx="3866388" cy="9144"/>
                          </a:xfrm>
                          <a:custGeom>
                            <a:avLst/>
                            <a:gdLst/>
                            <a:ahLst/>
                            <a:cxnLst/>
                            <a:rect l="0" t="0" r="0" b="0"/>
                            <a:pathLst>
                              <a:path w="3866388" h="9144">
                                <a:moveTo>
                                  <a:pt x="0" y="0"/>
                                </a:moveTo>
                                <a:lnTo>
                                  <a:pt x="3866388" y="0"/>
                                </a:lnTo>
                                <a:lnTo>
                                  <a:pt x="386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834C315" id="Group 2853" o:spid="_x0000_s1026" style="position:absolute;margin-left:-5.5pt;margin-top:335.2pt;width:466.5pt;height:.5pt;z-index:251660288" coordsize="592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">
                <v:shape id="Shape 4153" o:spid="_x0000_s1027" style="position:absolute;width:20521;height:91;visibility:visible;mso-wrap-style:square;v-text-anchor:top" coordsize="20521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VbxscA&#10;AADdAAAADwAAAGRycy9kb3ducmV2LnhtbESP3WoCMRSE7wt9h3AKvatZuyqyGqUUFiy0FX/A28Pm&#10;uLt1cxKSVLd9+qYgeDnMzDfMfNmbTpzJh9ayguEgA0FcWd1yrWC/K5+mIEJE1thZJgU/FGC5uL+b&#10;Y6HthTd03sZaJAiHAhU0MbpCylA1ZDAMrCNO3tF6gzFJX0vt8ZLgppPPWTaRBltOCw06em2oOm2/&#10;jYLJp/9yo3x1sr+lf1vX7vD+UeZKPT70LzMQkfp4C1/bK61gNBzn8P8mPQ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1W8bHAAAA3QAAAA8AAAAAAAAAAAAAAAAAmAIAAGRy&#10;cy9kb3ducmV2LnhtbFBLBQYAAAAABAAEAPUAAACMAwAAAAA=&#10;" path="m,l2052193,r,9144l,9144,,e" fillcolor="black" stroked="f" strokeweight="0">
                  <v:stroke miterlimit="83231f" joinstyle="miter"/>
                  <v:path arrowok="t" textboxrect="0,0,2052193,9144"/>
                </v:shape>
                <v:shape id="Shape 4154" o:spid="_x0000_s1028" style="position:absolute;left:2052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D8UA&#10;AADdAAAADwAAAGRycy9kb3ducmV2LnhtbESPQWvCQBSE70L/w/IKvelGiVpSV1GhIIKgaQ89vmZf&#10;k9Ds27i7avz3riB4HGbmG2a26EwjzuR8bVnBcJCAIC6srrlU8P312X8H4QOyxsYyKbiSh8X8pTfD&#10;TNsLH+ich1JECPsMFVQhtJmUvqjIoB/Yljh6f9YZDFG6UmqHlwg3jRwlyUQarDkuVNjSuqLiPz8Z&#10;Be2xdD9Hr1f8e9pvp5xsqNulSr29dssPEIG68Aw/2hutIB2OU7i/iU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2gPxQAAAN0AAAAPAAAAAAAAAAAAAAAAAJgCAABkcnMv&#10;ZG93bnJldi54bWxQSwUGAAAAAAQABAD1AAAAigMAAAAA&#10;" path="m,l9144,r,9144l,9144,,e" fillcolor="black" stroked="f" strokeweight="0">
                  <v:stroke miterlimit="83231f" joinstyle="miter"/>
                  <v:path arrowok="t" textboxrect="0,0,9144,9144"/>
                </v:shape>
                <v:shape id="Shape 4155" o:spid="_x0000_s1029" style="position:absolute;left:20583;width:38664;height:91;visibility:visible;mso-wrap-style:square;v-text-anchor:top" coordsize="38663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gWsUA&#10;AADdAAAADwAAAGRycy9kb3ducmV2LnhtbESP0WrCQBRE3wX/YbmCL1I3EW01dRURAlJQqPUDbrO3&#10;SWj2bthdY/z7riD0cZiZM8x625tGdOR8bVlBOk1AEBdW11wquHzlL0sQPiBrbCyTgjt52G6GgzVm&#10;2t74k7pzKEWEsM9QQRVCm0npi4oM+qltiaP3Y53BEKUrpXZ4i3DTyFmSvEqDNceFClvaV1T8nq9G&#10;gfanfpJ+r/LcG3c8fKyub91potR41O/eQQTqw3/42T5oBfN0sYDHm/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qBaxQAAAN0AAAAPAAAAAAAAAAAAAAAAAJgCAABkcnMv&#10;ZG93bnJldi54bWxQSwUGAAAAAAQABAD1AAAAigMAAAAA&#10;" path="m,l3866388,r,9144l,9144,,e" fillcolor="black" stroked="f" strokeweight="0">
                  <v:stroke miterlimit="83231f" joinstyle="miter"/>
                  <v:path arrowok="t" textboxrect="0,0,3866388,9144"/>
                </v:shape>
                <w10:wrap type="square"/>
              </v:group>
            </w:pict>
          </mc:Fallback>
        </mc:AlternateContent>
      </w:r>
      <w:r w:rsidRPr="002F1079">
        <w:rPr>
          <w:szCs w:val="20"/>
        </w:rPr>
        <w:t xml:space="preserve">          </w:t>
      </w:r>
    </w:p>
    <w:p w:rsidR="00FB7D27" w:rsidRDefault="00FB7D27" w:rsidP="00FB7D27">
      <w:pPr>
        <w:tabs>
          <w:tab w:val="right" w:pos="9033"/>
        </w:tabs>
        <w:spacing w:after="460" w:line="259" w:lineRule="auto"/>
        <w:ind w:left="-675" w:firstLine="0"/>
        <w:jc w:val="right"/>
        <w:rPr>
          <w:sz w:val="20"/>
          <w:szCs w:val="20"/>
        </w:rPr>
      </w:pPr>
    </w:p>
    <w:p w:rsidR="00FB7D27" w:rsidRPr="00225AD5" w:rsidRDefault="00FB7D27" w:rsidP="00FB7D27">
      <w:pPr>
        <w:tabs>
          <w:tab w:val="right" w:pos="9033"/>
        </w:tabs>
        <w:spacing w:after="460" w:line="259" w:lineRule="auto"/>
        <w:ind w:left="0" w:firstLine="0"/>
        <w:rPr>
          <w:sz w:val="20"/>
          <w:szCs w:val="20"/>
        </w:rPr>
      </w:pPr>
      <w:r w:rsidRPr="00225AD5">
        <w:rPr>
          <w:sz w:val="20"/>
          <w:szCs w:val="20"/>
        </w:rPr>
        <w:t xml:space="preserve">References </w:t>
      </w:r>
    </w:p>
    <w:p w:rsidR="00FB7D27" w:rsidRDefault="00FB7D27" w:rsidP="00FB7D27">
      <w:pPr>
        <w:spacing w:after="0" w:line="240" w:lineRule="auto"/>
        <w:ind w:left="264" w:right="0"/>
      </w:pPr>
      <w:r>
        <w:t>Australian Council for Safety and Quality in Health Care, Commonwealth of Australia reprinted April 2008.</w:t>
      </w:r>
      <w:r>
        <w:rPr>
          <w:i/>
        </w:rPr>
        <w:t xml:space="preserve"> Open Disclosure Standard: A national standard for open communication in public and private hospitals, following an adverse event in healthcare.</w:t>
      </w:r>
      <w:r>
        <w:t xml:space="preserve"> Publication number 3320. </w:t>
      </w:r>
    </w:p>
    <w:p w:rsidR="00FB7D27" w:rsidRDefault="00FB7D27" w:rsidP="00FB7D27">
      <w:pPr>
        <w:spacing w:after="0" w:line="259" w:lineRule="auto"/>
        <w:ind w:left="269" w:right="0" w:firstLine="0"/>
      </w:pPr>
      <w:r>
        <w:t xml:space="preserve"> </w:t>
      </w:r>
    </w:p>
    <w:p w:rsidR="00FB7D27" w:rsidRDefault="00FB7D27" w:rsidP="00FB7D27">
      <w:pPr>
        <w:ind w:left="264" w:right="180"/>
      </w:pPr>
      <w:r>
        <w:t xml:space="preserve">Australian Council for Safety and Quality in Health Care, Commonwealth of Australia. </w:t>
      </w:r>
    </w:p>
    <w:p w:rsidR="00FB7D27" w:rsidRDefault="00FB7D27" w:rsidP="00FB7D27">
      <w:pPr>
        <w:spacing w:after="0" w:line="240" w:lineRule="auto"/>
        <w:ind w:left="264" w:right="0"/>
      </w:pPr>
      <w:r>
        <w:t xml:space="preserve">2013. </w:t>
      </w:r>
      <w:r>
        <w:rPr>
          <w:i/>
        </w:rPr>
        <w:t xml:space="preserve">Australian Open Disclosure Framework: Better communication, a better way to care. </w:t>
      </w:r>
      <w:r>
        <w:t>ACSQHC Sydney.</w:t>
      </w:r>
      <w:r>
        <w:rPr>
          <w:i/>
        </w:rPr>
        <w:t xml:space="preserve">  </w:t>
      </w:r>
    </w:p>
    <w:p w:rsidR="00FB7D27" w:rsidRDefault="00FB7D27" w:rsidP="00FB7D27">
      <w:pPr>
        <w:spacing w:after="0" w:line="259" w:lineRule="auto"/>
        <w:ind w:left="269" w:right="0" w:firstLine="0"/>
      </w:pPr>
      <w:r>
        <w:rPr>
          <w:i/>
        </w:rPr>
        <w:t xml:space="preserve"> </w:t>
      </w:r>
    </w:p>
    <w:p w:rsidR="00FB7D27" w:rsidRDefault="00FB7D27" w:rsidP="00FB7D27">
      <w:pPr>
        <w:ind w:left="264" w:right="180"/>
      </w:pPr>
      <w:r>
        <w:t xml:space="preserve">State Government of Victoria. Department of Human Services 2008. </w:t>
      </w:r>
      <w:r>
        <w:rPr>
          <w:i/>
        </w:rPr>
        <w:t xml:space="preserve">Open Disclosure for Victorian health services. A Guidebook.  </w:t>
      </w:r>
    </w:p>
    <w:p w:rsidR="00FB7D27" w:rsidRDefault="00FB7D27" w:rsidP="00FB7D27">
      <w:pPr>
        <w:spacing w:after="0" w:line="259" w:lineRule="auto"/>
        <w:ind w:left="989" w:right="0" w:firstLine="0"/>
      </w:pPr>
      <w:r>
        <w:t xml:space="preserve"> </w:t>
      </w:r>
    </w:p>
    <w:p w:rsidR="00FB7D27" w:rsidRDefault="00FB7D27" w:rsidP="00FB7D27">
      <w:pPr>
        <w:ind w:left="264" w:right="180"/>
      </w:pPr>
      <w:r>
        <w:t xml:space="preserve">Wilson, </w:t>
      </w:r>
      <w:proofErr w:type="spellStart"/>
      <w:r>
        <w:t>Runicman</w:t>
      </w:r>
      <w:proofErr w:type="spellEnd"/>
      <w:r>
        <w:t xml:space="preserve">, </w:t>
      </w:r>
      <w:proofErr w:type="spellStart"/>
      <w:r>
        <w:t>Gibberd</w:t>
      </w:r>
      <w:proofErr w:type="spellEnd"/>
      <w:r>
        <w:t xml:space="preserve"> (1995) </w:t>
      </w:r>
      <w:r>
        <w:rPr>
          <w:i/>
        </w:rPr>
        <w:t>Quality in Health Care Study</w:t>
      </w:r>
      <w:r>
        <w:t xml:space="preserve">, </w:t>
      </w:r>
      <w:proofErr w:type="gramStart"/>
      <w:r>
        <w:t>Medical</w:t>
      </w:r>
      <w:proofErr w:type="gramEnd"/>
      <w:r>
        <w:t xml:space="preserve"> Journal of Australia 163 (9): 458-471</w:t>
      </w:r>
      <w:r>
        <w:rPr>
          <w:i/>
        </w:rPr>
        <w:t xml:space="preserve"> </w:t>
      </w:r>
    </w:p>
    <w:p w:rsidR="00FF5173" w:rsidRDefault="00FF5173" w:rsidP="00FB7D27">
      <w:pPr>
        <w:spacing w:after="160" w:line="259" w:lineRule="auto"/>
        <w:ind w:left="0" w:right="0" w:firstLine="0"/>
        <w:rPr>
          <w:b/>
        </w:rPr>
      </w:pPr>
    </w:p>
    <w:p w:rsidR="007F2B7A" w:rsidRPr="00FB7D27" w:rsidRDefault="00A453B1" w:rsidP="00FB7D27">
      <w:pPr>
        <w:spacing w:after="160" w:line="259" w:lineRule="auto"/>
        <w:ind w:left="0" w:right="0" w:firstLine="0"/>
        <w:rPr>
          <w:b/>
        </w:rPr>
      </w:pPr>
      <w:r w:rsidRPr="00FB7D27">
        <w:rPr>
          <w:b/>
        </w:rPr>
        <w:t xml:space="preserve">POLICY STATEMENT </w:t>
      </w:r>
    </w:p>
    <w:p w:rsidR="007F2B7A" w:rsidRDefault="00A453B1">
      <w:pPr>
        <w:spacing w:after="0" w:line="259" w:lineRule="auto"/>
        <w:ind w:left="269" w:right="0" w:firstLine="0"/>
      </w:pPr>
      <w:r>
        <w:rPr>
          <w:b/>
        </w:rPr>
        <w:t xml:space="preserve"> </w:t>
      </w:r>
      <w:r>
        <w:rPr>
          <w:b/>
        </w:rPr>
        <w:tab/>
        <w:t xml:space="preserve"> </w:t>
      </w:r>
    </w:p>
    <w:p w:rsidR="007F2B7A" w:rsidRDefault="00A453B1">
      <w:pPr>
        <w:ind w:left="264" w:right="180"/>
      </w:pPr>
      <w:r>
        <w:t xml:space="preserve">The Open Disclosure Standard as defined by the Australian Council for Safety and Quality in Health Care was predominantly developed to provide a framework for communication with patients and their significant others following an adverse event. </w:t>
      </w:r>
    </w:p>
    <w:p w:rsidR="007F2B7A" w:rsidRDefault="00A453B1">
      <w:pPr>
        <w:spacing w:after="0" w:line="259" w:lineRule="auto"/>
        <w:ind w:left="269" w:right="0" w:firstLine="0"/>
      </w:pPr>
      <w:r>
        <w:t xml:space="preserve"> </w:t>
      </w:r>
    </w:p>
    <w:p w:rsidR="007F2B7A" w:rsidRDefault="00A453B1">
      <w:pPr>
        <w:ind w:left="264" w:right="180"/>
      </w:pPr>
      <w:r>
        <w:t xml:space="preserve">The </w:t>
      </w:r>
      <w:r w:rsidR="00FF5173">
        <w:t>Malvern</w:t>
      </w:r>
      <w:r>
        <w:t xml:space="preserve"> Private Hospital has extended the standard into all operational areas where a patient or their significant other requires any communication </w:t>
      </w:r>
      <w:proofErr w:type="gramStart"/>
      <w:r>
        <w:t>in regard to</w:t>
      </w:r>
      <w:proofErr w:type="gramEnd"/>
      <w:r>
        <w:t xml:space="preserve"> their episode of stay or clinical continuum. </w:t>
      </w:r>
    </w:p>
    <w:p w:rsidR="007F2B7A" w:rsidRDefault="00A453B1">
      <w:pPr>
        <w:spacing w:after="0" w:line="259" w:lineRule="auto"/>
        <w:ind w:left="269" w:right="0" w:firstLine="0"/>
      </w:pPr>
      <w:r>
        <w:t xml:space="preserve"> </w:t>
      </w:r>
    </w:p>
    <w:p w:rsidR="007F2B7A" w:rsidRDefault="00A453B1">
      <w:pPr>
        <w:ind w:left="264" w:right="180"/>
      </w:pPr>
      <w:r>
        <w:t xml:space="preserve">In accordance with the Victorian Charter of Human Rights and Responsibilities 2006, section 15 of the legislation outlines the fundamental right to freedom of expression including the right to receive information. </w:t>
      </w:r>
    </w:p>
    <w:p w:rsidR="007F2B7A" w:rsidRDefault="00A453B1">
      <w:pPr>
        <w:spacing w:after="0" w:line="259" w:lineRule="auto"/>
        <w:ind w:left="269" w:right="0" w:firstLine="0"/>
      </w:pPr>
      <w:r>
        <w:t xml:space="preserve"> </w:t>
      </w:r>
    </w:p>
    <w:p w:rsidR="007F2B7A" w:rsidRDefault="00A453B1">
      <w:pPr>
        <w:ind w:left="264" w:right="180"/>
      </w:pPr>
      <w:r>
        <w:t xml:space="preserve">Supporting this policy is the Privacy Charter and release of medical information as outlined in the Governing Body and Medical Record Manual (Compliance to AS4269-1995; Complaints Handling) and rights on access to their medical records. </w:t>
      </w:r>
    </w:p>
    <w:p w:rsidR="007F2B7A" w:rsidRDefault="00A453B1">
      <w:pPr>
        <w:spacing w:after="0" w:line="259" w:lineRule="auto"/>
        <w:ind w:left="269" w:right="0" w:firstLine="0"/>
      </w:pPr>
      <w:r>
        <w:t xml:space="preserve"> </w:t>
      </w:r>
    </w:p>
    <w:p w:rsidR="007F2B7A" w:rsidRDefault="00A453B1">
      <w:pPr>
        <w:ind w:left="264" w:right="180"/>
      </w:pPr>
      <w:r>
        <w:t xml:space="preserve">The </w:t>
      </w:r>
      <w:r w:rsidR="00367BE7">
        <w:t>Malvern</w:t>
      </w:r>
      <w:r>
        <w:t xml:space="preserve"> Private Hospital has taken into account and is aware of legal implications </w:t>
      </w:r>
      <w:proofErr w:type="gramStart"/>
      <w:r>
        <w:t>in regard to</w:t>
      </w:r>
      <w:proofErr w:type="gramEnd"/>
      <w:r>
        <w:t xml:space="preserve"> compliance to open disclosure standard principles, both Commonwealth and State in general law principles. </w:t>
      </w:r>
    </w:p>
    <w:p w:rsidR="007F2B7A" w:rsidRDefault="00A453B1">
      <w:pPr>
        <w:spacing w:after="0" w:line="259" w:lineRule="auto"/>
        <w:ind w:left="269" w:right="0" w:firstLine="0"/>
      </w:pPr>
      <w:r>
        <w:t xml:space="preserve"> </w:t>
      </w:r>
    </w:p>
    <w:p w:rsidR="007F2B7A" w:rsidRDefault="00A453B1">
      <w:pPr>
        <w:pStyle w:val="Heading1"/>
        <w:ind w:left="264"/>
      </w:pPr>
      <w:r>
        <w:rPr>
          <w:b w:val="0"/>
        </w:rPr>
        <w:t xml:space="preserve"> </w:t>
      </w:r>
      <w:r>
        <w:t xml:space="preserve">Open Disclosure Concepts and Practice Policies Adverse event and perception of harm </w:t>
      </w:r>
    </w:p>
    <w:p w:rsidR="007F2B7A" w:rsidRDefault="00A453B1">
      <w:pPr>
        <w:spacing w:after="0" w:line="259" w:lineRule="auto"/>
        <w:ind w:left="269" w:right="0" w:firstLine="0"/>
      </w:pPr>
      <w:r>
        <w:rPr>
          <w:b/>
        </w:rPr>
        <w:t xml:space="preserve"> </w:t>
      </w:r>
    </w:p>
    <w:p w:rsidR="004F1626" w:rsidRDefault="00A453B1">
      <w:pPr>
        <w:spacing w:after="47"/>
        <w:ind w:left="264" w:right="180"/>
      </w:pPr>
      <w:r>
        <w:t xml:space="preserve">The patient’s perspective on whether he or she has suffered “harm” may differ from the view of the health care provider. </w:t>
      </w:r>
    </w:p>
    <w:p w:rsidR="004F1626" w:rsidRDefault="00A453B1">
      <w:pPr>
        <w:spacing w:after="47"/>
        <w:ind w:left="264" w:right="180"/>
      </w:pPr>
      <w:r>
        <w:t xml:space="preserve">The patient’s view should trigger the open disclosure process, regardless of whether an initial assessment suggests a recognised complication, adverse event, operational or service issue. </w:t>
      </w:r>
    </w:p>
    <w:p w:rsidR="007F2B7A" w:rsidRDefault="00A453B1">
      <w:pPr>
        <w:spacing w:after="47"/>
        <w:ind w:left="264" w:right="180"/>
      </w:pPr>
      <w:r>
        <w:t xml:space="preserve">The Open disclosure process </w:t>
      </w:r>
      <w:proofErr w:type="gramStart"/>
      <w:r>
        <w:t>should be performed</w:t>
      </w:r>
      <w:proofErr w:type="gramEnd"/>
      <w:r>
        <w:t xml:space="preserve"> when a patient has suffered a moderate to a severe event.</w:t>
      </w:r>
      <w:r>
        <w:rPr>
          <w:vertAlign w:val="superscript"/>
        </w:rPr>
        <w:t xml:space="preserve"> </w:t>
      </w:r>
    </w:p>
    <w:p w:rsidR="007F2B7A" w:rsidRDefault="00A453B1">
      <w:pPr>
        <w:spacing w:after="0" w:line="259" w:lineRule="auto"/>
        <w:ind w:left="269" w:right="0" w:firstLine="0"/>
      </w:pPr>
      <w:r>
        <w:t xml:space="preserve"> </w:t>
      </w:r>
    </w:p>
    <w:p w:rsidR="007F2B7A" w:rsidRDefault="00A453B1">
      <w:pPr>
        <w:pStyle w:val="Heading1"/>
        <w:ind w:left="264"/>
      </w:pPr>
      <w:r>
        <w:t xml:space="preserve">GENERAL PRINCIPLES OF OPEN DISCLOSURE </w:t>
      </w:r>
    </w:p>
    <w:p w:rsidR="007F2B7A" w:rsidRDefault="00A453B1">
      <w:pPr>
        <w:spacing w:after="13" w:line="259" w:lineRule="auto"/>
        <w:ind w:left="269" w:right="0" w:firstLine="0"/>
      </w:pPr>
      <w:r>
        <w:rPr>
          <w:b/>
        </w:rPr>
        <w:t xml:space="preserve"> </w:t>
      </w:r>
    </w:p>
    <w:p w:rsidR="007F2B7A" w:rsidRPr="004F1626" w:rsidRDefault="00A453B1">
      <w:pPr>
        <w:numPr>
          <w:ilvl w:val="0"/>
          <w:numId w:val="1"/>
        </w:numPr>
        <w:spacing w:after="28"/>
        <w:ind w:right="180" w:hanging="360"/>
      </w:pPr>
      <w:r>
        <w:rPr>
          <w:b/>
        </w:rPr>
        <w:t xml:space="preserve">Openness and timeliness of communication- </w:t>
      </w:r>
      <w:r>
        <w:t xml:space="preserve">Providing the patient and family member/support person with information about the event/occurrence in an open </w:t>
      </w:r>
      <w:r>
        <w:lastRenderedPageBreak/>
        <w:t>and honest manner</w:t>
      </w:r>
      <w:r>
        <w:rPr>
          <w:b/>
        </w:rPr>
        <w:t xml:space="preserve"> </w:t>
      </w:r>
      <w:r w:rsidR="004F1626" w:rsidRPr="004F1626">
        <w:t xml:space="preserve">– ensuring communication occurs within the </w:t>
      </w:r>
      <w:proofErr w:type="gramStart"/>
      <w:r w:rsidR="004F1626" w:rsidRPr="004F1626">
        <w:t>clients</w:t>
      </w:r>
      <w:proofErr w:type="gramEnd"/>
      <w:r w:rsidR="004F1626" w:rsidRPr="004F1626">
        <w:t xml:space="preserve"> framework of communication</w:t>
      </w:r>
      <w:r w:rsidR="004F1626">
        <w:t>, as documented on admission</w:t>
      </w:r>
      <w:r w:rsidR="004F1626" w:rsidRPr="004F1626">
        <w:t>.</w:t>
      </w:r>
    </w:p>
    <w:p w:rsidR="007F2B7A" w:rsidRDefault="00A453B1">
      <w:pPr>
        <w:numPr>
          <w:ilvl w:val="0"/>
          <w:numId w:val="1"/>
        </w:numPr>
        <w:spacing w:after="28"/>
        <w:ind w:right="180" w:hanging="360"/>
      </w:pPr>
      <w:r>
        <w:rPr>
          <w:b/>
        </w:rPr>
        <w:t xml:space="preserve">Acknowledgement- </w:t>
      </w:r>
      <w:r>
        <w:t>Open disclosure processes should be initiated and acknowledgement of the even should be made to the patient as soon as possible</w:t>
      </w:r>
      <w:r>
        <w:rPr>
          <w:b/>
        </w:rPr>
        <w:t xml:space="preserve"> </w:t>
      </w:r>
    </w:p>
    <w:p w:rsidR="007F2B7A" w:rsidRDefault="00A453B1">
      <w:pPr>
        <w:numPr>
          <w:ilvl w:val="0"/>
          <w:numId w:val="1"/>
        </w:numPr>
        <w:spacing w:after="28"/>
        <w:ind w:right="180" w:hanging="360"/>
      </w:pPr>
      <w:r>
        <w:rPr>
          <w:b/>
        </w:rPr>
        <w:t xml:space="preserve">Expression of regret- </w:t>
      </w:r>
      <w:r>
        <w:t>An expression of regret should be given as soon as possible to the patient and support person</w:t>
      </w:r>
      <w:r>
        <w:rPr>
          <w:b/>
        </w:rPr>
        <w:t xml:space="preserve"> </w:t>
      </w:r>
    </w:p>
    <w:p w:rsidR="007F2B7A" w:rsidRDefault="00A453B1" w:rsidP="002638FA">
      <w:pPr>
        <w:numPr>
          <w:ilvl w:val="0"/>
          <w:numId w:val="1"/>
        </w:numPr>
        <w:spacing w:after="0" w:line="240" w:lineRule="auto"/>
        <w:ind w:left="987" w:right="180" w:hanging="360"/>
      </w:pPr>
      <w:r>
        <w:rPr>
          <w:b/>
        </w:rPr>
        <w:t xml:space="preserve">Recognition of reasonable expectations of patients and their support person- </w:t>
      </w:r>
      <w:r>
        <w:t xml:space="preserve">Dignity, respect, empathy and support should be provided accordingly to the </w:t>
      </w:r>
      <w:proofErr w:type="spellStart"/>
      <w:r>
        <w:t>patients</w:t>
      </w:r>
      <w:proofErr w:type="spellEnd"/>
      <w:r>
        <w:t xml:space="preserve"> needs and expectations</w:t>
      </w:r>
      <w:r>
        <w:rPr>
          <w:b/>
        </w:rPr>
        <w:t xml:space="preserve"> </w:t>
      </w:r>
    </w:p>
    <w:p w:rsidR="002638FA" w:rsidRDefault="002638FA" w:rsidP="002638FA">
      <w:pPr>
        <w:pStyle w:val="ListParagraph"/>
        <w:spacing w:after="0" w:line="240" w:lineRule="auto"/>
        <w:ind w:left="987" w:right="0" w:firstLine="0"/>
        <w:rPr>
          <w:b/>
        </w:rPr>
      </w:pPr>
    </w:p>
    <w:p w:rsidR="007F2B7A" w:rsidRDefault="00A453B1" w:rsidP="002638FA">
      <w:pPr>
        <w:pStyle w:val="ListParagraph"/>
        <w:numPr>
          <w:ilvl w:val="0"/>
          <w:numId w:val="1"/>
        </w:numPr>
      </w:pPr>
      <w:r w:rsidRPr="002638FA">
        <w:rPr>
          <w:b/>
        </w:rPr>
        <w:t xml:space="preserve">Staff support- </w:t>
      </w:r>
      <w:r>
        <w:t>The open disclosure process within the organisation must support and encourage the reporting and recognition of adverse events and adopt the “no blame approach”</w:t>
      </w:r>
      <w:r w:rsidRPr="002638FA">
        <w:rPr>
          <w:b/>
        </w:rPr>
        <w:t xml:space="preserve"> </w:t>
      </w:r>
    </w:p>
    <w:p w:rsidR="007F2B7A" w:rsidRDefault="00A453B1">
      <w:pPr>
        <w:numPr>
          <w:ilvl w:val="0"/>
          <w:numId w:val="1"/>
        </w:numPr>
        <w:spacing w:after="28"/>
        <w:ind w:right="180" w:hanging="360"/>
      </w:pPr>
      <w:r>
        <w:rPr>
          <w:b/>
        </w:rPr>
        <w:t xml:space="preserve">Integrated risk management and systems improvement- </w:t>
      </w:r>
      <w:r>
        <w:t>Appropriate risk management investigations and analysis should be performed on adverse events and outcomes focused on improvement and preventative measures</w:t>
      </w:r>
      <w:r>
        <w:rPr>
          <w:b/>
        </w:rPr>
        <w:t xml:space="preserve"> </w:t>
      </w:r>
    </w:p>
    <w:p w:rsidR="007F2B7A" w:rsidRDefault="00A453B1">
      <w:pPr>
        <w:numPr>
          <w:ilvl w:val="0"/>
          <w:numId w:val="1"/>
        </w:numPr>
        <w:spacing w:after="36" w:line="240" w:lineRule="auto"/>
        <w:ind w:right="180" w:hanging="360"/>
      </w:pPr>
      <w:r>
        <w:rPr>
          <w:b/>
        </w:rPr>
        <w:t xml:space="preserve">Good governance- </w:t>
      </w:r>
      <w:r>
        <w:t xml:space="preserve">The necessary changes </w:t>
      </w:r>
      <w:proofErr w:type="gramStart"/>
      <w:r>
        <w:t>are implemented</w:t>
      </w:r>
      <w:proofErr w:type="gramEnd"/>
      <w:r>
        <w:t xml:space="preserve"> from executive level to ensure quality improvement, action and prevention of the adverse event from future occurrence.</w:t>
      </w:r>
      <w:r>
        <w:rPr>
          <w:b/>
        </w:rPr>
        <w:t xml:space="preserve"> </w:t>
      </w:r>
    </w:p>
    <w:p w:rsidR="007F2B7A" w:rsidRPr="004F1626" w:rsidRDefault="00A453B1">
      <w:pPr>
        <w:numPr>
          <w:ilvl w:val="0"/>
          <w:numId w:val="1"/>
        </w:numPr>
        <w:ind w:right="180" w:hanging="360"/>
      </w:pPr>
      <w:r>
        <w:rPr>
          <w:b/>
        </w:rPr>
        <w:t xml:space="preserve">Confidentiality- </w:t>
      </w:r>
      <w:r>
        <w:t xml:space="preserve">Full consideration </w:t>
      </w:r>
      <w:proofErr w:type="gramStart"/>
      <w:r>
        <w:t>must be given</w:t>
      </w:r>
      <w:proofErr w:type="gramEnd"/>
      <w:r>
        <w:t xml:space="preserve"> to the patient’s, family and support person and staff’s privacy and confidentiality in accordance to state and federal law, to be reinforced by organisational policies and procedures. </w:t>
      </w:r>
      <w:r>
        <w:rPr>
          <w:b/>
        </w:rPr>
        <w:t xml:space="preserve"> </w:t>
      </w:r>
    </w:p>
    <w:p w:rsidR="004F1626" w:rsidRDefault="004F1626">
      <w:pPr>
        <w:numPr>
          <w:ilvl w:val="0"/>
          <w:numId w:val="1"/>
        </w:numPr>
        <w:ind w:right="180" w:hanging="360"/>
      </w:pPr>
    </w:p>
    <w:p w:rsidR="007F2B7A" w:rsidRDefault="00A453B1">
      <w:pPr>
        <w:spacing w:after="2" w:line="259" w:lineRule="auto"/>
        <w:ind w:left="0" w:right="0" w:firstLine="0"/>
      </w:pPr>
      <w:r>
        <w:rPr>
          <w:i/>
          <w:sz w:val="22"/>
        </w:rPr>
        <w:t xml:space="preserve">Reference: NQSHS Australian Open disclosure Framework: Better communication, a better way to care </w:t>
      </w:r>
    </w:p>
    <w:p w:rsidR="007F2B7A" w:rsidRDefault="00A453B1">
      <w:pPr>
        <w:spacing w:after="0" w:line="259" w:lineRule="auto"/>
        <w:ind w:left="269" w:right="0" w:firstLine="0"/>
      </w:pPr>
      <w:r>
        <w:t xml:space="preserve"> </w:t>
      </w:r>
    </w:p>
    <w:p w:rsidR="007F2B7A" w:rsidRDefault="00A453B1">
      <w:pPr>
        <w:pStyle w:val="Heading1"/>
        <w:ind w:left="264"/>
      </w:pPr>
      <w:r>
        <w:t xml:space="preserve">Disciplinary Processes in relation to Open Disclosure </w:t>
      </w:r>
    </w:p>
    <w:p w:rsidR="007F2B7A" w:rsidRDefault="00A453B1">
      <w:pPr>
        <w:spacing w:after="0" w:line="259" w:lineRule="auto"/>
        <w:ind w:left="269" w:right="0" w:firstLine="0"/>
      </w:pPr>
      <w:r>
        <w:rPr>
          <w:b/>
        </w:rPr>
        <w:t xml:space="preserve"> </w:t>
      </w:r>
    </w:p>
    <w:p w:rsidR="007F2B7A" w:rsidRDefault="00A453B1">
      <w:pPr>
        <w:ind w:left="264" w:right="180"/>
      </w:pPr>
      <w:r>
        <w:t xml:space="preserve">Open disclosure investigations, which may identify and include staff disciplinary processes, which do not differ from routine operational disciplinary practices at the hospital. We also recognize that staff and visiting medical officers may also require emotional support and advice.  </w:t>
      </w:r>
    </w:p>
    <w:p w:rsidR="007F2B7A" w:rsidRDefault="00A453B1">
      <w:pPr>
        <w:spacing w:after="0" w:line="259" w:lineRule="auto"/>
        <w:ind w:left="269" w:right="0" w:firstLine="0"/>
      </w:pPr>
      <w:r>
        <w:t xml:space="preserve"> </w:t>
      </w:r>
    </w:p>
    <w:p w:rsidR="007F2B7A" w:rsidRDefault="00A453B1">
      <w:pPr>
        <w:ind w:left="264" w:right="180"/>
      </w:pPr>
      <w:r>
        <w:t xml:space="preserve">Where a patient has died </w:t>
      </w:r>
      <w:proofErr w:type="gramStart"/>
      <w:r>
        <w:t>as a result</w:t>
      </w:r>
      <w:proofErr w:type="gramEnd"/>
      <w:r>
        <w:t xml:space="preserve"> of an adverse event, subject to the requirements of the coroner and legislation, policies and practices should ensure that the support person is provided with known information, care and support. The significant other </w:t>
      </w:r>
      <w:proofErr w:type="gramStart"/>
      <w:r>
        <w:t>should also be referred</w:t>
      </w:r>
      <w:proofErr w:type="gramEnd"/>
      <w:r>
        <w:t xml:space="preserve"> to the coroner for more detailed information. </w:t>
      </w:r>
    </w:p>
    <w:p w:rsidR="007F2B7A" w:rsidRDefault="00A453B1">
      <w:pPr>
        <w:spacing w:after="0" w:line="259" w:lineRule="auto"/>
        <w:ind w:left="269" w:right="0" w:firstLine="0"/>
      </w:pPr>
      <w:r>
        <w:t xml:space="preserve"> </w:t>
      </w:r>
    </w:p>
    <w:p w:rsidR="007F2B7A" w:rsidRDefault="00A453B1">
      <w:pPr>
        <w:pStyle w:val="Heading1"/>
        <w:ind w:left="264"/>
      </w:pPr>
      <w:r>
        <w:t xml:space="preserve">Advocacy and Support </w:t>
      </w:r>
    </w:p>
    <w:p w:rsidR="007F2B7A" w:rsidRDefault="00A453B1">
      <w:pPr>
        <w:spacing w:after="0" w:line="259" w:lineRule="auto"/>
        <w:ind w:left="269" w:right="0" w:firstLine="0"/>
      </w:pPr>
      <w:r>
        <w:rPr>
          <w:b/>
        </w:rPr>
        <w:t xml:space="preserve"> </w:t>
      </w:r>
    </w:p>
    <w:p w:rsidR="007F2B7A" w:rsidRDefault="00A453B1">
      <w:pPr>
        <w:ind w:left="264" w:right="180"/>
      </w:pPr>
      <w:r>
        <w:lastRenderedPageBreak/>
        <w:t xml:space="preserve">Patients and their significant other may need considerable help and support after experiencing an adverse event. </w:t>
      </w:r>
      <w:proofErr w:type="gramStart"/>
      <w:r>
        <w:t>Support is provided to families, by other support persons, e.g. social workers, religious representatives</w:t>
      </w:r>
      <w:proofErr w:type="gramEnd"/>
      <w:r>
        <w:t xml:space="preserve">. Where a patient needs more detailed </w:t>
      </w:r>
      <w:proofErr w:type="spellStart"/>
      <w:r>
        <w:t>longterm</w:t>
      </w:r>
      <w:proofErr w:type="spellEnd"/>
      <w:r>
        <w:t xml:space="preserve"> emotional support, expert service provision is provided by referral e.g. consultant psychiatrist. </w:t>
      </w:r>
    </w:p>
    <w:p w:rsidR="007F2B7A" w:rsidRDefault="00A453B1">
      <w:pPr>
        <w:spacing w:after="0" w:line="259" w:lineRule="auto"/>
        <w:ind w:left="269" w:right="0" w:firstLine="0"/>
      </w:pPr>
      <w:r>
        <w:t xml:space="preserve"> </w:t>
      </w:r>
    </w:p>
    <w:p w:rsidR="007F2B7A" w:rsidRDefault="00A453B1">
      <w:pPr>
        <w:spacing w:after="5" w:line="250" w:lineRule="auto"/>
        <w:ind w:left="264" w:right="0"/>
      </w:pPr>
      <w:r>
        <w:rPr>
          <w:b/>
        </w:rPr>
        <w:t xml:space="preserve">Consideration needs to </w:t>
      </w:r>
      <w:proofErr w:type="gramStart"/>
      <w:r>
        <w:rPr>
          <w:b/>
        </w:rPr>
        <w:t>be made</w:t>
      </w:r>
      <w:proofErr w:type="gramEnd"/>
      <w:r>
        <w:rPr>
          <w:b/>
        </w:rPr>
        <w:t xml:space="preserve"> in the event of the patient to whom the adverse event happened to was a </w:t>
      </w:r>
      <w:r w:rsidR="00367BE7">
        <w:rPr>
          <w:b/>
        </w:rPr>
        <w:t>person</w:t>
      </w:r>
      <w:r>
        <w:rPr>
          <w:b/>
        </w:rPr>
        <w:t xml:space="preserve"> suffering mental illness, has cognitive impairment, language barriers and cultural</w:t>
      </w:r>
      <w:r w:rsidR="00367BE7">
        <w:rPr>
          <w:b/>
        </w:rPr>
        <w:t xml:space="preserve"> or religious</w:t>
      </w:r>
      <w:r>
        <w:rPr>
          <w:b/>
        </w:rPr>
        <w:t xml:space="preserve"> diversity. </w:t>
      </w:r>
    </w:p>
    <w:p w:rsidR="007F2B7A" w:rsidRDefault="00A453B1">
      <w:pPr>
        <w:spacing w:after="0" w:line="259" w:lineRule="auto"/>
        <w:ind w:left="269" w:right="0" w:firstLine="0"/>
      </w:pPr>
      <w:r>
        <w:t xml:space="preserve"> </w:t>
      </w:r>
    </w:p>
    <w:p w:rsidR="007F2B7A" w:rsidRDefault="00A453B1">
      <w:pPr>
        <w:pStyle w:val="Heading1"/>
        <w:ind w:left="264"/>
      </w:pPr>
      <w:r>
        <w:t xml:space="preserve">Definitions </w:t>
      </w:r>
    </w:p>
    <w:p w:rsidR="007F2B7A" w:rsidRDefault="00A453B1">
      <w:pPr>
        <w:spacing w:after="23" w:line="259" w:lineRule="auto"/>
        <w:ind w:left="269" w:right="0" w:firstLine="0"/>
      </w:pPr>
      <w:r>
        <w:rPr>
          <w:b/>
        </w:rPr>
        <w:t xml:space="preserve"> </w:t>
      </w:r>
    </w:p>
    <w:p w:rsidR="007F2B7A" w:rsidRDefault="00A453B1">
      <w:pPr>
        <w:numPr>
          <w:ilvl w:val="0"/>
          <w:numId w:val="2"/>
        </w:numPr>
        <w:spacing w:after="37"/>
        <w:ind w:right="180" w:hanging="360"/>
      </w:pPr>
      <w:r>
        <w:rPr>
          <w:b/>
        </w:rPr>
        <w:t xml:space="preserve">Adverse event – </w:t>
      </w:r>
      <w:r>
        <w:t>An incident in which unintended harm resulted to a person receiving health care.</w:t>
      </w:r>
      <w:r>
        <w:rPr>
          <w:b/>
        </w:rPr>
        <w:t xml:space="preserve"> </w:t>
      </w:r>
    </w:p>
    <w:p w:rsidR="007F2B7A" w:rsidRDefault="00A453B1">
      <w:pPr>
        <w:numPr>
          <w:ilvl w:val="0"/>
          <w:numId w:val="2"/>
        </w:numPr>
        <w:ind w:right="180" w:hanging="360"/>
      </w:pPr>
      <w:r>
        <w:rPr>
          <w:b/>
        </w:rPr>
        <w:t>Expression of regret –</w:t>
      </w:r>
      <w:r>
        <w:t xml:space="preserve"> An expression of sorrow for the harm experienced by the patient.</w:t>
      </w:r>
      <w:r>
        <w:rPr>
          <w:b/>
        </w:rPr>
        <w:t xml:space="preserve"> </w:t>
      </w:r>
    </w:p>
    <w:p w:rsidR="004F1626" w:rsidRDefault="00A453B1">
      <w:pPr>
        <w:numPr>
          <w:ilvl w:val="0"/>
          <w:numId w:val="2"/>
        </w:numPr>
        <w:spacing w:after="37"/>
        <w:ind w:right="180" w:hanging="360"/>
      </w:pPr>
      <w:r>
        <w:rPr>
          <w:b/>
        </w:rPr>
        <w:t xml:space="preserve">Individual responsible for clinical risk – </w:t>
      </w:r>
      <w:r>
        <w:t xml:space="preserve">Health care organisations need to designate responsibility for the management of risks associated with the delivery of clinical care. </w:t>
      </w:r>
    </w:p>
    <w:p w:rsidR="007F2B7A" w:rsidRDefault="00A453B1" w:rsidP="004F1626">
      <w:pPr>
        <w:spacing w:after="37"/>
        <w:ind w:left="989" w:right="180" w:firstLine="0"/>
      </w:pPr>
      <w:r>
        <w:t xml:space="preserve">The person responsible needs to be of sufficient seniority to have credibility and be able to drive change to effect improvements. He or she will oversee the implementation of the open disclosure process within the organisation. The </w:t>
      </w:r>
      <w:r w:rsidR="00367BE7">
        <w:t>Malvern</w:t>
      </w:r>
      <w:r>
        <w:t xml:space="preserve"> Private Hospital has</w:t>
      </w:r>
      <w:r w:rsidR="00367BE7">
        <w:t xml:space="preserve"> an appointed Hospital Director</w:t>
      </w:r>
      <w:r>
        <w:t>.</w:t>
      </w:r>
      <w:r>
        <w:rPr>
          <w:b/>
        </w:rPr>
        <w:t xml:space="preserve"> </w:t>
      </w:r>
    </w:p>
    <w:p w:rsidR="004F1626" w:rsidRDefault="00A453B1">
      <w:pPr>
        <w:numPr>
          <w:ilvl w:val="0"/>
          <w:numId w:val="2"/>
        </w:numPr>
        <w:ind w:right="180" w:hanging="360"/>
      </w:pPr>
      <w:r>
        <w:rPr>
          <w:b/>
        </w:rPr>
        <w:t xml:space="preserve">Significant Other – </w:t>
      </w:r>
      <w:r>
        <w:t xml:space="preserve">Information about an adverse event will be given </w:t>
      </w:r>
      <w:proofErr w:type="gramStart"/>
      <w:r>
        <w:t>to a patients</w:t>
      </w:r>
      <w:proofErr w:type="gramEnd"/>
      <w:r>
        <w:t xml:space="preserve"> nominated “significant other” in appropriate circumstances, taking account of the patient’s wishes, confidentiality and privacy requirements and the policies at The </w:t>
      </w:r>
      <w:r w:rsidR="00367BE7">
        <w:t>Malvern</w:t>
      </w:r>
      <w:r>
        <w:t xml:space="preserve"> Private Hospital.</w:t>
      </w:r>
    </w:p>
    <w:p w:rsidR="004F1626" w:rsidRDefault="00A453B1" w:rsidP="004F1626">
      <w:pPr>
        <w:ind w:left="989" w:right="180" w:firstLine="0"/>
      </w:pPr>
      <w:r>
        <w:t xml:space="preserve">The nominated significant other/s may be any individual, identified by the patient as a nominated recipient of information regarding their care. This may include family, friend, partner or those who care for the patient. In cases of a dispute between, say, family, partners or friends about who should receive information, the </w:t>
      </w:r>
      <w:proofErr w:type="spellStart"/>
      <w:r>
        <w:t>patients</w:t>
      </w:r>
      <w:proofErr w:type="spellEnd"/>
      <w:r>
        <w:t xml:space="preserve"> wishes, expressed on the admission form, should paramount. </w:t>
      </w:r>
    </w:p>
    <w:p w:rsidR="004F1626" w:rsidRDefault="00A453B1" w:rsidP="004F1626">
      <w:pPr>
        <w:ind w:left="989" w:right="180" w:firstLine="0"/>
      </w:pPr>
      <w:r>
        <w:t xml:space="preserve">In addition, some people have legal </w:t>
      </w:r>
      <w:proofErr w:type="gramStart"/>
      <w:r>
        <w:t>relationship which</w:t>
      </w:r>
      <w:proofErr w:type="gramEnd"/>
      <w:r>
        <w:t xml:space="preserve"> entitles them to receive information (for example, in some cases, a parent, legal guardian or an executor). Given the complexities, references in this Standard to “significant other” </w:t>
      </w:r>
      <w:proofErr w:type="gramStart"/>
      <w:r>
        <w:t>should be read</w:t>
      </w:r>
      <w:proofErr w:type="gramEnd"/>
      <w:r>
        <w:t xml:space="preserve"> with the words “where appropriate”. </w:t>
      </w:r>
    </w:p>
    <w:p w:rsidR="007F2B7A" w:rsidRDefault="00A453B1" w:rsidP="004F1626">
      <w:pPr>
        <w:ind w:left="989" w:right="180" w:firstLine="0"/>
      </w:pPr>
      <w:r>
        <w:t xml:space="preserve">However, it is highly recommended that nominated support persons involved in the open disclosure process from the outset </w:t>
      </w:r>
      <w:proofErr w:type="gramStart"/>
      <w:r>
        <w:t>so as to</w:t>
      </w:r>
      <w:proofErr w:type="gramEnd"/>
      <w:r>
        <w:t xml:space="preserve"> be able to give appropriate support and care to the patient.</w:t>
      </w:r>
      <w:r>
        <w:rPr>
          <w:b/>
        </w:rPr>
        <w:t xml:space="preserve"> </w:t>
      </w:r>
    </w:p>
    <w:p w:rsidR="007F2B7A" w:rsidRDefault="00A453B1">
      <w:pPr>
        <w:spacing w:after="0" w:line="259" w:lineRule="auto"/>
        <w:ind w:left="269" w:right="0" w:firstLine="0"/>
      </w:pPr>
      <w:r>
        <w:t xml:space="preserve"> </w:t>
      </w:r>
    </w:p>
    <w:p w:rsidR="007F2B7A" w:rsidRDefault="00A453B1">
      <w:pPr>
        <w:ind w:left="264" w:right="180"/>
      </w:pPr>
      <w:r>
        <w:lastRenderedPageBreak/>
        <w:t>Case Manager to facilitate care, including contact, mediation, documentation and follow up is the Hospital Director</w:t>
      </w:r>
      <w:r w:rsidR="00367BE7">
        <w:t xml:space="preserve">.   </w:t>
      </w:r>
    </w:p>
    <w:p w:rsidR="004F1626" w:rsidRDefault="004F1626">
      <w:pPr>
        <w:ind w:left="264" w:right="180"/>
      </w:pPr>
    </w:p>
    <w:p w:rsidR="007F2B7A" w:rsidRDefault="00A453B1">
      <w:pPr>
        <w:spacing w:after="0" w:line="259" w:lineRule="auto"/>
        <w:ind w:left="269" w:right="0" w:firstLine="0"/>
      </w:pPr>
      <w:r>
        <w:t xml:space="preserve"> </w:t>
      </w:r>
    </w:p>
    <w:p w:rsidR="007F2B7A" w:rsidRDefault="00A453B1">
      <w:pPr>
        <w:pStyle w:val="Heading1"/>
        <w:ind w:left="264"/>
      </w:pPr>
      <w:r>
        <w:t xml:space="preserve">Open Communication </w:t>
      </w:r>
    </w:p>
    <w:p w:rsidR="007F2B7A" w:rsidRDefault="00A453B1">
      <w:pPr>
        <w:spacing w:after="0" w:line="259" w:lineRule="auto"/>
        <w:ind w:left="269" w:right="0" w:firstLine="0"/>
      </w:pPr>
      <w:r>
        <w:rPr>
          <w:b/>
        </w:rPr>
        <w:t xml:space="preserve"> </w:t>
      </w:r>
    </w:p>
    <w:p w:rsidR="007F2B7A" w:rsidRDefault="00A453B1">
      <w:pPr>
        <w:ind w:left="264" w:right="180"/>
      </w:pPr>
      <w:r>
        <w:t xml:space="preserve">The </w:t>
      </w:r>
      <w:r w:rsidR="00367BE7">
        <w:t>Malvern</w:t>
      </w:r>
      <w:r>
        <w:t xml:space="preserve"> Private Hospital advocates open and effective communication.  </w:t>
      </w:r>
    </w:p>
    <w:p w:rsidR="007F2B7A" w:rsidRDefault="00A453B1">
      <w:pPr>
        <w:spacing w:after="0" w:line="259" w:lineRule="auto"/>
        <w:ind w:left="269" w:right="0" w:firstLine="0"/>
      </w:pPr>
      <w:r>
        <w:t xml:space="preserve"> </w:t>
      </w:r>
    </w:p>
    <w:p w:rsidR="007F2B7A" w:rsidRDefault="00A453B1">
      <w:pPr>
        <w:spacing w:after="0" w:line="240" w:lineRule="auto"/>
        <w:ind w:left="269" w:right="182" w:firstLine="0"/>
      </w:pPr>
      <w:r>
        <w:rPr>
          <w:b/>
          <w:i/>
        </w:rPr>
        <w:t xml:space="preserve">Patient information is available in the waiting room at reception on Open Disclosure that </w:t>
      </w:r>
      <w:proofErr w:type="gramStart"/>
      <w:r>
        <w:rPr>
          <w:b/>
          <w:i/>
        </w:rPr>
        <w:t>was developed</w:t>
      </w:r>
      <w:proofErr w:type="gramEnd"/>
      <w:r>
        <w:rPr>
          <w:b/>
          <w:i/>
        </w:rPr>
        <w:t xml:space="preserve"> by the ACSQHS.</w:t>
      </w:r>
      <w:r>
        <w:t xml:space="preserve">  </w:t>
      </w:r>
    </w:p>
    <w:p w:rsidR="007F2B7A" w:rsidRDefault="00A453B1">
      <w:pPr>
        <w:spacing w:after="0" w:line="259" w:lineRule="auto"/>
        <w:ind w:left="269" w:right="0" w:firstLine="0"/>
      </w:pPr>
      <w:r>
        <w:t xml:space="preserve"> </w:t>
      </w:r>
    </w:p>
    <w:p w:rsidR="007F2B7A" w:rsidRDefault="00A453B1">
      <w:pPr>
        <w:ind w:left="264" w:right="180"/>
      </w:pPr>
      <w:r>
        <w:t xml:space="preserve">The </w:t>
      </w:r>
      <w:r w:rsidR="00FF5173">
        <w:t>Malvern</w:t>
      </w:r>
      <w:r>
        <w:t xml:space="preserve"> Private Hospital endeavours to ensure that</w:t>
      </w:r>
      <w:proofErr w:type="gramStart"/>
      <w:r>
        <w:t>;</w:t>
      </w:r>
      <w:proofErr w:type="gramEnd"/>
      <w:r>
        <w:t xml:space="preserve"> </w:t>
      </w:r>
    </w:p>
    <w:p w:rsidR="007F2B7A" w:rsidRDefault="00A453B1">
      <w:pPr>
        <w:spacing w:after="23" w:line="259" w:lineRule="auto"/>
        <w:ind w:left="269" w:right="0" w:firstLine="0"/>
      </w:pPr>
      <w:r>
        <w:t xml:space="preserve"> </w:t>
      </w:r>
    </w:p>
    <w:p w:rsidR="007F2B7A" w:rsidRDefault="00A453B1">
      <w:pPr>
        <w:numPr>
          <w:ilvl w:val="0"/>
          <w:numId w:val="3"/>
        </w:numPr>
        <w:spacing w:after="37"/>
        <w:ind w:right="180" w:hanging="360"/>
      </w:pPr>
      <w:r>
        <w:t xml:space="preserve">Identification of a patient’s significant others is included in the patient’s clinical record. </w:t>
      </w:r>
    </w:p>
    <w:p w:rsidR="007F2B7A" w:rsidRDefault="00A453B1">
      <w:pPr>
        <w:numPr>
          <w:ilvl w:val="0"/>
          <w:numId w:val="3"/>
        </w:numPr>
        <w:spacing w:after="38"/>
        <w:ind w:right="180" w:hanging="360"/>
      </w:pPr>
      <w:r>
        <w:t xml:space="preserve">Identification of any need for interpreter services occurs as part of the nursing admission assessment </w:t>
      </w:r>
    </w:p>
    <w:p w:rsidR="007F2B7A" w:rsidRDefault="00A453B1">
      <w:pPr>
        <w:numPr>
          <w:ilvl w:val="0"/>
          <w:numId w:val="3"/>
        </w:numPr>
        <w:spacing w:after="37"/>
        <w:ind w:right="180" w:hanging="360"/>
      </w:pPr>
      <w:r>
        <w:t xml:space="preserve">Circumstances are considered and managed by the case manager </w:t>
      </w:r>
      <w:proofErr w:type="gramStart"/>
      <w:r>
        <w:t>in regard to</w:t>
      </w:r>
      <w:proofErr w:type="gramEnd"/>
      <w:r>
        <w:t xml:space="preserve"> mental health issues, patients that are deceased, patients with cognitive impairment and patients who do not agree with information provided. </w:t>
      </w:r>
    </w:p>
    <w:p w:rsidR="007F2B7A" w:rsidRDefault="00A453B1">
      <w:pPr>
        <w:numPr>
          <w:ilvl w:val="0"/>
          <w:numId w:val="3"/>
        </w:numPr>
        <w:ind w:right="180" w:hanging="360"/>
      </w:pPr>
      <w:r>
        <w:t xml:space="preserve">The nursing admission process provides verbal reference to open disclosure as a matter of course </w:t>
      </w:r>
    </w:p>
    <w:p w:rsidR="007F2B7A" w:rsidRDefault="007F2B7A" w:rsidP="00FB7D27">
      <w:pPr>
        <w:spacing w:after="0" w:line="259" w:lineRule="auto"/>
        <w:ind w:left="0" w:right="0" w:firstLine="0"/>
      </w:pPr>
    </w:p>
    <w:p w:rsidR="007F2B7A" w:rsidRDefault="00A453B1">
      <w:pPr>
        <w:spacing w:after="0" w:line="259" w:lineRule="auto"/>
        <w:ind w:left="269" w:right="0" w:firstLine="0"/>
      </w:pPr>
      <w:r>
        <w:rPr>
          <w:b/>
        </w:rPr>
        <w:t xml:space="preserve"> </w:t>
      </w:r>
    </w:p>
    <w:p w:rsidR="007F2B7A" w:rsidRDefault="00A453B1">
      <w:pPr>
        <w:pStyle w:val="Heading1"/>
        <w:ind w:left="264"/>
      </w:pPr>
      <w:r>
        <w:t xml:space="preserve">Admission of Liability </w:t>
      </w:r>
    </w:p>
    <w:p w:rsidR="007F2B7A" w:rsidRDefault="00A453B1">
      <w:pPr>
        <w:spacing w:after="0" w:line="259" w:lineRule="auto"/>
        <w:ind w:left="269" w:right="0" w:firstLine="0"/>
      </w:pPr>
      <w:r>
        <w:rPr>
          <w:b/>
        </w:rPr>
        <w:t xml:space="preserve"> </w:t>
      </w:r>
    </w:p>
    <w:p w:rsidR="007F2B7A" w:rsidRDefault="00A453B1">
      <w:pPr>
        <w:ind w:left="264" w:right="180"/>
      </w:pPr>
      <w:r>
        <w:t xml:space="preserve">Health care professionals need to be aware of the risk of making an admission of liability during the open disclosure process. In any discussion with the patient and their support person during the open disclosure process, the health care professional should take care </w:t>
      </w:r>
      <w:proofErr w:type="gramStart"/>
      <w:r>
        <w:t>not to</w:t>
      </w:r>
      <w:proofErr w:type="gramEnd"/>
      <w:r>
        <w:t xml:space="preserve">: </w:t>
      </w:r>
    </w:p>
    <w:p w:rsidR="007F2B7A" w:rsidRDefault="00A453B1">
      <w:pPr>
        <w:spacing w:after="23" w:line="259" w:lineRule="auto"/>
        <w:ind w:left="269" w:right="0" w:firstLine="0"/>
      </w:pPr>
      <w:r>
        <w:t xml:space="preserve"> </w:t>
      </w:r>
    </w:p>
    <w:p w:rsidR="007F2B7A" w:rsidRDefault="00A453B1">
      <w:pPr>
        <w:numPr>
          <w:ilvl w:val="0"/>
          <w:numId w:val="4"/>
        </w:numPr>
        <w:ind w:right="180" w:hanging="360"/>
      </w:pPr>
      <w:r>
        <w:t xml:space="preserve">State or agree that they are liable for the harm caused to the patient; </w:t>
      </w:r>
    </w:p>
    <w:p w:rsidR="007F2B7A" w:rsidRDefault="00A453B1">
      <w:pPr>
        <w:numPr>
          <w:ilvl w:val="0"/>
          <w:numId w:val="4"/>
        </w:numPr>
        <w:spacing w:after="37"/>
        <w:ind w:right="180" w:hanging="360"/>
      </w:pPr>
      <w:r>
        <w:t xml:space="preserve">State or agree that another health care professional is liable for the harm caused to the patient; or </w:t>
      </w:r>
    </w:p>
    <w:p w:rsidR="007F2B7A" w:rsidRDefault="00A453B1">
      <w:pPr>
        <w:numPr>
          <w:ilvl w:val="0"/>
          <w:numId w:val="4"/>
        </w:numPr>
        <w:ind w:right="180" w:hanging="360"/>
      </w:pPr>
      <w:r>
        <w:t xml:space="preserve">State or agree that the health care organisation is liable for the harm caused to the patient. </w:t>
      </w:r>
    </w:p>
    <w:p w:rsidR="007F2B7A" w:rsidRDefault="00A453B1">
      <w:pPr>
        <w:spacing w:after="0" w:line="259" w:lineRule="auto"/>
        <w:ind w:left="269" w:right="0" w:firstLine="0"/>
      </w:pPr>
      <w:r>
        <w:t xml:space="preserve"> </w:t>
      </w:r>
    </w:p>
    <w:p w:rsidR="007F2B7A" w:rsidRDefault="00A453B1">
      <w:pPr>
        <w:pStyle w:val="Heading1"/>
        <w:ind w:left="264"/>
      </w:pPr>
      <w:r>
        <w:t xml:space="preserve">Documentation </w:t>
      </w:r>
    </w:p>
    <w:p w:rsidR="007F2B7A" w:rsidRDefault="00A453B1">
      <w:pPr>
        <w:spacing w:after="0" w:line="259" w:lineRule="auto"/>
        <w:ind w:left="269" w:right="0" w:firstLine="0"/>
      </w:pPr>
      <w:r>
        <w:t xml:space="preserve"> </w:t>
      </w:r>
    </w:p>
    <w:p w:rsidR="007F2B7A" w:rsidRDefault="00A453B1">
      <w:pPr>
        <w:ind w:left="264" w:right="180"/>
      </w:pPr>
      <w:r>
        <w:lastRenderedPageBreak/>
        <w:t xml:space="preserve">Background details of the adverse event </w:t>
      </w:r>
      <w:proofErr w:type="gramStart"/>
      <w:r>
        <w:t>should be well documented</w:t>
      </w:r>
      <w:proofErr w:type="gramEnd"/>
      <w:r>
        <w:t xml:space="preserve"> at the time of the incident, and facts of the event clarified and confirmed with the appropriate personnel.  </w:t>
      </w:r>
    </w:p>
    <w:p w:rsidR="007F2B7A" w:rsidRDefault="00A453B1">
      <w:pPr>
        <w:spacing w:after="0" w:line="259" w:lineRule="auto"/>
        <w:ind w:left="269" w:right="0" w:firstLine="0"/>
      </w:pPr>
      <w:r>
        <w:t xml:space="preserve"> </w:t>
      </w:r>
    </w:p>
    <w:p w:rsidR="007F2B7A" w:rsidRDefault="00A453B1">
      <w:pPr>
        <w:ind w:left="264" w:right="180"/>
      </w:pPr>
      <w:proofErr w:type="gramStart"/>
      <w:r>
        <w:t>Factual information</w:t>
      </w:r>
      <w:proofErr w:type="gramEnd"/>
      <w:r>
        <w:t xml:space="preserve"> on what was discussed with the patient should be documented including apology, explanations of what has occurred and what is being done to manage and prevent future events similar in nature. </w:t>
      </w:r>
    </w:p>
    <w:p w:rsidR="007F2B7A" w:rsidRDefault="00A453B1">
      <w:pPr>
        <w:spacing w:after="0" w:line="259" w:lineRule="auto"/>
        <w:ind w:left="269" w:right="0" w:firstLine="0"/>
      </w:pPr>
      <w:r>
        <w:t xml:space="preserve"> </w:t>
      </w:r>
    </w:p>
    <w:p w:rsidR="007F2B7A" w:rsidRDefault="00A453B1">
      <w:pPr>
        <w:ind w:left="264" w:right="180"/>
      </w:pPr>
      <w:r>
        <w:t xml:space="preserve">It </w:t>
      </w:r>
      <w:proofErr w:type="gramStart"/>
      <w:r>
        <w:t>should also be documented</w:t>
      </w:r>
      <w:proofErr w:type="gramEnd"/>
      <w:r>
        <w:t xml:space="preserve"> who is present during conversations of disclosure including family and support people.  </w:t>
      </w:r>
    </w:p>
    <w:p w:rsidR="007F2B7A" w:rsidRDefault="00A453B1">
      <w:pPr>
        <w:spacing w:after="0" w:line="259" w:lineRule="auto"/>
        <w:ind w:left="269" w:right="0" w:firstLine="0"/>
      </w:pPr>
      <w:r>
        <w:rPr>
          <w:b/>
        </w:rPr>
        <w:t xml:space="preserve"> </w:t>
      </w:r>
    </w:p>
    <w:p w:rsidR="007F2B7A" w:rsidRDefault="00A453B1">
      <w:pPr>
        <w:pStyle w:val="Heading1"/>
        <w:ind w:left="264"/>
      </w:pPr>
      <w:r>
        <w:t xml:space="preserve">Legal Protection and Disclosure of Documents </w:t>
      </w:r>
    </w:p>
    <w:p w:rsidR="007F2B7A" w:rsidRDefault="00A453B1">
      <w:pPr>
        <w:spacing w:after="0" w:line="259" w:lineRule="auto"/>
        <w:ind w:left="269" w:right="0" w:firstLine="0"/>
      </w:pPr>
      <w:r>
        <w:rPr>
          <w:b/>
        </w:rPr>
        <w:t xml:space="preserve"> </w:t>
      </w:r>
    </w:p>
    <w:p w:rsidR="007F2B7A" w:rsidRDefault="00A453B1">
      <w:pPr>
        <w:ind w:left="264" w:right="180"/>
      </w:pPr>
      <w:r>
        <w:t xml:space="preserve">Communications and documents (including emails) produced in response to an adverse event may have to be disclosed late in any legal proceedings or in response to a freedom </w:t>
      </w:r>
    </w:p>
    <w:p w:rsidR="007F2B7A" w:rsidRDefault="00A453B1">
      <w:pPr>
        <w:ind w:left="264" w:right="180"/>
      </w:pPr>
      <w:proofErr w:type="gramStart"/>
      <w:r>
        <w:t>of</w:t>
      </w:r>
      <w:proofErr w:type="gramEnd"/>
      <w:r>
        <w:t xml:space="preserve"> information application. It is therefore important that care is taken in all communications and documents, to state as fact, only what is known to be correct. </w:t>
      </w:r>
    </w:p>
    <w:p w:rsidR="007F2B7A" w:rsidRDefault="00A453B1">
      <w:pPr>
        <w:spacing w:after="0" w:line="259" w:lineRule="auto"/>
        <w:ind w:left="269" w:right="0" w:firstLine="0"/>
      </w:pPr>
      <w:r>
        <w:t xml:space="preserve"> </w:t>
      </w:r>
    </w:p>
    <w:p w:rsidR="007F2B7A" w:rsidRDefault="00A453B1">
      <w:pPr>
        <w:spacing w:after="27"/>
        <w:ind w:left="264" w:right="180"/>
      </w:pPr>
      <w:r>
        <w:t xml:space="preserve">At The Private </w:t>
      </w:r>
      <w:proofErr w:type="gramStart"/>
      <w:r>
        <w:t>Hospital</w:t>
      </w:r>
      <w:proofErr w:type="gramEnd"/>
      <w:r>
        <w:t xml:space="preserve"> it may be necessary to undertake the open disclosure processes so as to appropriately utilise </w:t>
      </w:r>
    </w:p>
    <w:p w:rsidR="007F2B7A" w:rsidRDefault="00A453B1">
      <w:pPr>
        <w:numPr>
          <w:ilvl w:val="0"/>
          <w:numId w:val="5"/>
        </w:numPr>
        <w:ind w:right="180" w:hanging="360"/>
      </w:pPr>
      <w:r>
        <w:t xml:space="preserve">Legal professional privilege; or </w:t>
      </w:r>
    </w:p>
    <w:p w:rsidR="007F2B7A" w:rsidRDefault="00A453B1">
      <w:pPr>
        <w:numPr>
          <w:ilvl w:val="0"/>
          <w:numId w:val="5"/>
        </w:numPr>
        <w:ind w:right="180" w:hanging="360"/>
      </w:pPr>
      <w:r>
        <w:t xml:space="preserve">Qualified privilege legislation </w:t>
      </w:r>
    </w:p>
    <w:p w:rsidR="007F2B7A" w:rsidRDefault="00A453B1">
      <w:pPr>
        <w:spacing w:after="0" w:line="259" w:lineRule="auto"/>
        <w:ind w:left="989" w:right="0" w:firstLine="0"/>
      </w:pPr>
      <w:r>
        <w:rPr>
          <w:b/>
        </w:rPr>
        <w:t xml:space="preserve"> </w:t>
      </w:r>
    </w:p>
    <w:p w:rsidR="007F2B7A" w:rsidRDefault="00A453B1">
      <w:pPr>
        <w:spacing w:after="0" w:line="259" w:lineRule="auto"/>
        <w:ind w:left="269" w:right="0" w:firstLine="0"/>
      </w:pPr>
      <w:r>
        <w:rPr>
          <w:b/>
        </w:rPr>
        <w:t xml:space="preserve"> </w:t>
      </w:r>
    </w:p>
    <w:p w:rsidR="007F2B7A" w:rsidRDefault="007F2B7A" w:rsidP="00FB7D27">
      <w:pPr>
        <w:spacing w:after="0" w:line="259" w:lineRule="auto"/>
        <w:ind w:left="0" w:right="0" w:firstLine="0"/>
      </w:pPr>
    </w:p>
    <w:p w:rsidR="007F2B7A" w:rsidRDefault="007F2B7A">
      <w:pPr>
        <w:spacing w:after="0" w:line="259" w:lineRule="auto"/>
        <w:ind w:left="989" w:right="0" w:firstLine="0"/>
      </w:pPr>
    </w:p>
    <w:sectPr w:rsidR="007F2B7A">
      <w:headerReference w:type="even" r:id="rId7"/>
      <w:headerReference w:type="default" r:id="rId8"/>
      <w:footerReference w:type="even" r:id="rId9"/>
      <w:footerReference w:type="default" r:id="rId10"/>
      <w:headerReference w:type="first" r:id="rId11"/>
      <w:footerReference w:type="first" r:id="rId12"/>
      <w:pgSz w:w="12240" w:h="15840"/>
      <w:pgMar w:top="50" w:right="1228" w:bottom="274" w:left="1719" w:header="720" w:footer="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20" w:rsidRDefault="00A453B1">
      <w:pPr>
        <w:spacing w:after="0" w:line="240" w:lineRule="auto"/>
      </w:pPr>
      <w:r>
        <w:separator/>
      </w:r>
    </w:p>
  </w:endnote>
  <w:endnote w:type="continuationSeparator" w:id="0">
    <w:p w:rsidR="00080120" w:rsidRDefault="00A4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7A" w:rsidRDefault="00A453B1">
    <w:pPr>
      <w:spacing w:after="0" w:line="259" w:lineRule="auto"/>
      <w:ind w:left="78" w:right="0" w:firstLine="0"/>
      <w:jc w:val="center"/>
    </w:pPr>
    <w:r>
      <w:rPr>
        <w:rFonts w:ascii="Tahoma" w:eastAsia="Tahoma" w:hAnsi="Tahoma" w:cs="Tahoma"/>
        <w:b/>
        <w:sz w:val="14"/>
      </w:rPr>
      <w:t xml:space="preserve">THIS DOCUMENT IS CONTROLLED </w:t>
    </w:r>
  </w:p>
  <w:p w:rsidR="007F2B7A" w:rsidRDefault="00A453B1">
    <w:pPr>
      <w:spacing w:after="28" w:line="259" w:lineRule="auto"/>
      <w:ind w:left="0" w:right="328" w:firstLine="0"/>
      <w:jc w:val="right"/>
    </w:pPr>
    <w:proofErr w:type="spellStart"/>
    <w:r>
      <w:rPr>
        <w:rFonts w:ascii="Tahoma" w:eastAsia="Tahoma" w:hAnsi="Tahoma" w:cs="Tahoma"/>
        <w:sz w:val="14"/>
      </w:rPr>
      <w:t>IPHoA</w:t>
    </w:r>
    <w:proofErr w:type="spellEnd"/>
    <w:r>
      <w:rPr>
        <w:rFonts w:ascii="Tahoma" w:eastAsia="Tahoma" w:hAnsi="Tahoma" w:cs="Tahoma"/>
        <w:sz w:val="14"/>
      </w:rPr>
      <w:t xml:space="preserve"> – The Melbourne Eastern Private – HWP011 Open Disclosure Statement – V2 – 18/03/2015 – Issuing Authority – Hospital Executive</w:t>
    </w:r>
    <w:r>
      <w:rPr>
        <w:rFonts w:ascii="Tahoma" w:eastAsia="Tahoma" w:hAnsi="Tahoma" w:cs="Tahoma"/>
        <w:b/>
        <w:sz w:val="14"/>
      </w:rPr>
      <w:t xml:space="preserve"> </w:t>
    </w:r>
  </w:p>
  <w:p w:rsidR="007F2B7A" w:rsidRDefault="00A453B1">
    <w:pPr>
      <w:spacing w:after="26" w:line="259" w:lineRule="auto"/>
      <w:ind w:left="269" w:right="0" w:firstLine="0"/>
    </w:pPr>
    <w:r>
      <w:rPr>
        <w:rFonts w:ascii="Arial" w:eastAsia="Arial" w:hAnsi="Arial" w:cs="Arial"/>
        <w:b/>
        <w:i/>
        <w:sz w:val="20"/>
      </w:rPr>
      <w:t xml:space="preserve"> </w:t>
    </w:r>
    <w:r>
      <w:rPr>
        <w:rFonts w:ascii="Arial" w:eastAsia="Arial" w:hAnsi="Arial" w:cs="Arial"/>
        <w:b/>
        <w:i/>
        <w:sz w:val="20"/>
      </w:rPr>
      <w:tab/>
      <w:t xml:space="preserve"> </w:t>
    </w:r>
  </w:p>
  <w:p w:rsidR="007F2B7A" w:rsidRDefault="00A453B1">
    <w:pPr>
      <w:spacing w:after="0" w:line="259" w:lineRule="auto"/>
      <w:ind w:left="269"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7A" w:rsidRDefault="00A453B1">
    <w:pPr>
      <w:spacing w:after="0" w:line="259" w:lineRule="auto"/>
      <w:ind w:left="78" w:right="0" w:firstLine="0"/>
      <w:jc w:val="center"/>
    </w:pPr>
    <w:r>
      <w:rPr>
        <w:rFonts w:ascii="Tahoma" w:eastAsia="Tahoma" w:hAnsi="Tahoma" w:cs="Tahoma"/>
        <w:b/>
        <w:sz w:val="14"/>
      </w:rPr>
      <w:t xml:space="preserve">THIS DOCUMENT IS CONTROLLED </w:t>
    </w:r>
  </w:p>
  <w:p w:rsidR="007F2B7A" w:rsidRDefault="00A453B1">
    <w:pPr>
      <w:spacing w:after="28" w:line="259" w:lineRule="auto"/>
      <w:ind w:left="0" w:right="328" w:firstLine="0"/>
      <w:jc w:val="right"/>
    </w:pPr>
    <w:proofErr w:type="spellStart"/>
    <w:r>
      <w:rPr>
        <w:rFonts w:ascii="Tahoma" w:eastAsia="Tahoma" w:hAnsi="Tahoma" w:cs="Tahoma"/>
        <w:sz w:val="14"/>
      </w:rPr>
      <w:t>IPHoA</w:t>
    </w:r>
    <w:proofErr w:type="spellEnd"/>
    <w:r>
      <w:rPr>
        <w:rFonts w:ascii="Tahoma" w:eastAsia="Tahoma" w:hAnsi="Tahoma" w:cs="Tahoma"/>
        <w:sz w:val="14"/>
      </w:rPr>
      <w:t xml:space="preserve"> – The </w:t>
    </w:r>
    <w:r w:rsidR="000D477B">
      <w:rPr>
        <w:rFonts w:ascii="Tahoma" w:eastAsia="Tahoma" w:hAnsi="Tahoma" w:cs="Tahoma"/>
        <w:sz w:val="14"/>
      </w:rPr>
      <w:t>Malvern</w:t>
    </w:r>
    <w:r>
      <w:rPr>
        <w:rFonts w:ascii="Tahoma" w:eastAsia="Tahoma" w:hAnsi="Tahoma" w:cs="Tahoma"/>
        <w:sz w:val="14"/>
      </w:rPr>
      <w:t xml:space="preserve"> Private </w:t>
    </w:r>
    <w:r w:rsidR="000D477B">
      <w:rPr>
        <w:rFonts w:ascii="Tahoma" w:eastAsia="Tahoma" w:hAnsi="Tahoma" w:cs="Tahoma"/>
        <w:sz w:val="14"/>
      </w:rPr>
      <w:t>Hospital</w:t>
    </w:r>
    <w:r>
      <w:rPr>
        <w:rFonts w:ascii="Tahoma" w:eastAsia="Tahoma" w:hAnsi="Tahoma" w:cs="Tahoma"/>
        <w:sz w:val="14"/>
      </w:rPr>
      <w:t xml:space="preserve">– HWP011 Open Disclosure Statement – V2 – </w:t>
    </w:r>
    <w:r w:rsidR="000D477B">
      <w:rPr>
        <w:rFonts w:ascii="Tahoma" w:eastAsia="Tahoma" w:hAnsi="Tahoma" w:cs="Tahoma"/>
        <w:sz w:val="14"/>
      </w:rPr>
      <w:t>Updated 18/3/21 V2</w:t>
    </w:r>
    <w:r>
      <w:rPr>
        <w:rFonts w:ascii="Tahoma" w:eastAsia="Tahoma" w:hAnsi="Tahoma" w:cs="Tahoma"/>
        <w:sz w:val="14"/>
      </w:rPr>
      <w:t>– Issuing Authority – Hospital Executive</w:t>
    </w:r>
    <w:r>
      <w:rPr>
        <w:rFonts w:ascii="Tahoma" w:eastAsia="Tahoma" w:hAnsi="Tahoma" w:cs="Tahoma"/>
        <w:b/>
        <w:sz w:val="14"/>
      </w:rPr>
      <w:t xml:space="preserve"> </w:t>
    </w:r>
  </w:p>
  <w:p w:rsidR="007F2B7A" w:rsidRDefault="00A453B1">
    <w:pPr>
      <w:spacing w:after="26" w:line="259" w:lineRule="auto"/>
      <w:ind w:left="269" w:right="0" w:firstLine="0"/>
    </w:pPr>
    <w:r>
      <w:rPr>
        <w:rFonts w:ascii="Arial" w:eastAsia="Arial" w:hAnsi="Arial" w:cs="Arial"/>
        <w:b/>
        <w:i/>
        <w:sz w:val="20"/>
      </w:rPr>
      <w:t xml:space="preserve"> </w:t>
    </w:r>
    <w:r>
      <w:rPr>
        <w:rFonts w:ascii="Arial" w:eastAsia="Arial" w:hAnsi="Arial" w:cs="Arial"/>
        <w:b/>
        <w:i/>
        <w:sz w:val="20"/>
      </w:rPr>
      <w:tab/>
      <w:t xml:space="preserve"> </w:t>
    </w:r>
  </w:p>
  <w:p w:rsidR="007F2B7A" w:rsidRDefault="00A453B1">
    <w:pPr>
      <w:spacing w:after="0" w:line="259" w:lineRule="auto"/>
      <w:ind w:left="269"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7A" w:rsidRDefault="007F2B7A" w:rsidP="00FB7D27">
    <w:pPr>
      <w:spacing w:after="0" w:line="361" w:lineRule="auto"/>
      <w:ind w:right="633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20" w:rsidRDefault="00A453B1">
      <w:pPr>
        <w:spacing w:after="0" w:line="240" w:lineRule="auto"/>
      </w:pPr>
      <w:r>
        <w:separator/>
      </w:r>
    </w:p>
  </w:footnote>
  <w:footnote w:type="continuationSeparator" w:id="0">
    <w:p w:rsidR="00080120" w:rsidRDefault="00A4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7A" w:rsidRDefault="00A453B1">
    <w:pPr>
      <w:spacing w:after="0" w:line="259" w:lineRule="auto"/>
      <w:ind w:left="269" w:right="0" w:firstLine="0"/>
    </w:pPr>
    <w:r>
      <w:rPr>
        <w:noProof/>
      </w:rPr>
      <w:drawing>
        <wp:anchor distT="0" distB="0" distL="114300" distR="114300" simplePos="0" relativeHeight="251658240" behindDoc="0" locked="0" layoutInCell="1" allowOverlap="0">
          <wp:simplePos x="0" y="0"/>
          <wp:positionH relativeFrom="page">
            <wp:posOffset>117475</wp:posOffset>
          </wp:positionH>
          <wp:positionV relativeFrom="page">
            <wp:posOffset>124460</wp:posOffset>
          </wp:positionV>
          <wp:extent cx="2568575" cy="680085"/>
          <wp:effectExtent l="0" t="0" r="0" b="0"/>
          <wp:wrapSquare wrapText="bothSides"/>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1"/>
                  <a:stretch>
                    <a:fillRect/>
                  </a:stretch>
                </pic:blipFill>
                <pic:spPr>
                  <a:xfrm>
                    <a:off x="0" y="0"/>
                    <a:ext cx="2568575" cy="680085"/>
                  </a:xfrm>
                  <a:prstGeom prst="rect">
                    <a:avLst/>
                  </a:prstGeom>
                </pic:spPr>
              </pic:pic>
            </a:graphicData>
          </a:graphic>
        </wp:anchor>
      </w:drawing>
    </w:r>
    <w:r>
      <w:rPr>
        <w:rFonts w:ascii="Times New Roman" w:eastAsia="Times New Roman" w:hAnsi="Times New Roman" w:cs="Times New Roman"/>
      </w:rPr>
      <w:t xml:space="preserve"> </w:t>
    </w:r>
  </w:p>
  <w:p w:rsidR="007F2B7A" w:rsidRDefault="00A453B1">
    <w:pPr>
      <w:spacing w:after="0" w:line="259" w:lineRule="auto"/>
      <w:ind w:left="269" w:right="0" w:firstLine="0"/>
    </w:pPr>
    <w:r>
      <w:rPr>
        <w:rFonts w:ascii="Times New Roman" w:eastAsia="Times New Roman" w:hAnsi="Times New Roman" w:cs="Times New Roman"/>
      </w:rPr>
      <w:t xml:space="preserve"> </w:t>
    </w:r>
  </w:p>
  <w:p w:rsidR="007F2B7A" w:rsidRDefault="00A453B1">
    <w:pPr>
      <w:spacing w:after="22" w:line="259" w:lineRule="auto"/>
      <w:ind w:left="269" w:right="0" w:firstLine="0"/>
    </w:pPr>
    <w:r>
      <w:rPr>
        <w:rFonts w:ascii="Times New Roman" w:eastAsia="Times New Roman" w:hAnsi="Times New Roman" w:cs="Times New Roman"/>
      </w:rPr>
      <w:t xml:space="preserve"> </w:t>
    </w:r>
  </w:p>
  <w:p w:rsidR="007F2B7A" w:rsidRDefault="00A453B1">
    <w:pPr>
      <w:spacing w:after="0" w:line="259" w:lineRule="auto"/>
      <w:ind w:left="0" w:right="188" w:firstLine="0"/>
      <w:jc w:val="right"/>
    </w:pPr>
    <w:r>
      <w:rPr>
        <w:b/>
        <w:sz w:val="28"/>
      </w:rPr>
      <w:t xml:space="preserve">OPEN DISCLOSURE POLICY </w:t>
    </w:r>
  </w:p>
  <w:p w:rsidR="007F2B7A" w:rsidRDefault="00A453B1">
    <w:pPr>
      <w:spacing w:after="0" w:line="259" w:lineRule="auto"/>
      <w:ind w:left="0" w:right="187" w:firstLine="0"/>
      <w:jc w:val="right"/>
    </w:pPr>
    <w:r>
      <w:rPr>
        <w:b/>
        <w:sz w:val="28"/>
      </w:rPr>
      <w:t>HWP017</w:t>
    </w:r>
    <w:r>
      <w:rPr>
        <w:rFonts w:ascii="Times New Roman" w:eastAsia="Times New Roman" w:hAnsi="Times New Roman" w:cs="Times New Roman"/>
      </w:rPr>
      <w:t xml:space="preserve"> </w:t>
    </w:r>
  </w:p>
  <w:p w:rsidR="007F2B7A" w:rsidRDefault="00A453B1">
    <w:pPr>
      <w:spacing w:after="0" w:line="259" w:lineRule="auto"/>
      <w:ind w:left="269" w:right="0" w:firstLine="0"/>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7A" w:rsidRDefault="00731E93">
    <w:pPr>
      <w:spacing w:after="0" w:line="259" w:lineRule="auto"/>
      <w:ind w:left="269" w:right="0" w:firstLine="0"/>
    </w:pPr>
    <w:r>
      <w:rPr>
        <w:noProof/>
      </w:rPr>
      <mc:AlternateContent>
        <mc:Choice Requires="wps">
          <w:drawing>
            <wp:anchor distT="0" distB="0" distL="114300" distR="114300" simplePos="0" relativeHeight="251660288" behindDoc="0" locked="0" layoutInCell="1" allowOverlap="1" wp14:anchorId="0A9D9AE2" wp14:editId="5B4B81ED">
              <wp:simplePos x="0" y="0"/>
              <wp:positionH relativeFrom="margin">
                <wp:align>left</wp:align>
              </wp:positionH>
              <wp:positionV relativeFrom="paragraph">
                <wp:posOffset>0</wp:posOffset>
              </wp:positionV>
              <wp:extent cx="3752850" cy="9144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752850" cy="914400"/>
                      </a:xfrm>
                      <a:prstGeom prst="rect">
                        <a:avLst/>
                      </a:prstGeom>
                      <a:solidFill>
                        <a:sysClr val="window" lastClr="FFFFFF"/>
                      </a:solidFill>
                      <a:ln w="6350">
                        <a:solidFill>
                          <a:prstClr val="black"/>
                        </a:solidFill>
                      </a:ln>
                    </wps:spPr>
                    <wps:txbx>
                      <w:txbxContent>
                        <w:p w:rsidR="00731E93" w:rsidRDefault="00731E93" w:rsidP="00731E93">
                          <w:r>
                            <w:rPr>
                              <w:noProof/>
                            </w:rPr>
                            <w:drawing>
                              <wp:inline distT="0" distB="0" distL="0" distR="0" wp14:anchorId="159BA448" wp14:editId="0EFA1EF9">
                                <wp:extent cx="504825" cy="6858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rcRect/>
                                        <a:stretch>
                                          <a:fillRect/>
                                        </a:stretch>
                                      </pic:blipFill>
                                      <pic:spPr bwMode="auto">
                                        <a:xfrm>
                                          <a:off x="0" y="0"/>
                                          <a:ext cx="504825" cy="685800"/>
                                        </a:xfrm>
                                        <a:prstGeom prst="rect">
                                          <a:avLst/>
                                        </a:prstGeom>
                                        <a:noFill/>
                                        <a:ln w="9525">
                                          <a:noFill/>
                                          <a:miter lim="800000"/>
                                          <a:headEnd/>
                                          <a:tailEnd/>
                                        </a:ln>
                                      </pic:spPr>
                                    </pic:pic>
                                  </a:graphicData>
                                </a:graphic>
                              </wp:inline>
                            </w:drawing>
                          </w:r>
                          <w:r w:rsidRPr="00696569">
                            <w:rPr>
                              <w:noProof/>
                            </w:rPr>
                            <w:drawing>
                              <wp:inline distT="0" distB="0" distL="0" distR="0" wp14:anchorId="2C82EE81" wp14:editId="36049F9C">
                                <wp:extent cx="24003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9D9AE2" id="_x0000_t202" coordsize="21600,21600" o:spt="202" path="m,l,21600r21600,l21600,xe">
              <v:stroke joinstyle="miter"/>
              <v:path gradientshapeok="t" o:connecttype="rect"/>
            </v:shapetype>
            <v:shape id="Text Box 2" o:spid="_x0000_s1027" type="#_x0000_t202" style="position:absolute;left:0;text-align:left;margin-left:0;margin-top:0;width:295.5pt;height:1in;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" fillcolor="window" strokeweight=".5pt">
              <v:textbox>
                <w:txbxContent>
                  <w:p w:rsidR="00731E93" w:rsidRDefault="00731E93" w:rsidP="00731E93">
                    <w:r>
                      <w:rPr>
                        <w:noProof/>
                      </w:rPr>
                      <w:drawing>
                        <wp:inline distT="0" distB="0" distL="0" distR="0" wp14:anchorId="159BA448" wp14:editId="0EFA1EF9">
                          <wp:extent cx="504825" cy="6858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srcRect/>
                                  <a:stretch>
                                    <a:fillRect/>
                                  </a:stretch>
                                </pic:blipFill>
                                <pic:spPr bwMode="auto">
                                  <a:xfrm>
                                    <a:off x="0" y="0"/>
                                    <a:ext cx="504825" cy="685800"/>
                                  </a:xfrm>
                                  <a:prstGeom prst="rect">
                                    <a:avLst/>
                                  </a:prstGeom>
                                  <a:noFill/>
                                  <a:ln w="9525">
                                    <a:noFill/>
                                    <a:miter lim="800000"/>
                                    <a:headEnd/>
                                    <a:tailEnd/>
                                  </a:ln>
                                </pic:spPr>
                              </pic:pic>
                            </a:graphicData>
                          </a:graphic>
                        </wp:inline>
                      </w:drawing>
                    </w:r>
                    <w:r w:rsidRPr="00696569">
                      <w:rPr>
                        <w:noProof/>
                      </w:rPr>
                      <w:drawing>
                        <wp:inline distT="0" distB="0" distL="0" distR="0" wp14:anchorId="2C82EE81" wp14:editId="36049F9C">
                          <wp:extent cx="24003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txbxContent>
              </v:textbox>
              <w10:wrap anchorx="margin"/>
            </v:shape>
          </w:pict>
        </mc:Fallback>
      </mc:AlternateContent>
    </w:r>
    <w:r w:rsidR="00A453B1">
      <w:rPr>
        <w:rFonts w:ascii="Times New Roman" w:eastAsia="Times New Roman" w:hAnsi="Times New Roman" w:cs="Times New Roman"/>
      </w:rPr>
      <w:t xml:space="preserve"> </w:t>
    </w:r>
  </w:p>
  <w:p w:rsidR="007F2B7A" w:rsidRDefault="00A453B1">
    <w:pPr>
      <w:spacing w:after="0" w:line="259" w:lineRule="auto"/>
      <w:ind w:left="269" w:right="0" w:firstLine="0"/>
    </w:pPr>
    <w:r>
      <w:rPr>
        <w:rFonts w:ascii="Times New Roman" w:eastAsia="Times New Roman" w:hAnsi="Times New Roman" w:cs="Times New Roman"/>
      </w:rPr>
      <w:t xml:space="preserve"> </w:t>
    </w:r>
  </w:p>
  <w:p w:rsidR="007F2B7A" w:rsidRDefault="00A453B1">
    <w:pPr>
      <w:spacing w:after="22" w:line="259" w:lineRule="auto"/>
      <w:ind w:left="269" w:right="0" w:firstLine="0"/>
    </w:pPr>
    <w:r>
      <w:rPr>
        <w:rFonts w:ascii="Times New Roman" w:eastAsia="Times New Roman" w:hAnsi="Times New Roman" w:cs="Times New Roman"/>
      </w:rPr>
      <w:t xml:space="preserve"> </w:t>
    </w:r>
  </w:p>
  <w:p w:rsidR="007F2B7A" w:rsidRDefault="00A453B1">
    <w:pPr>
      <w:spacing w:after="0" w:line="259" w:lineRule="auto"/>
      <w:ind w:left="0" w:right="188" w:firstLine="0"/>
      <w:jc w:val="right"/>
    </w:pPr>
    <w:r>
      <w:rPr>
        <w:b/>
        <w:sz w:val="28"/>
      </w:rPr>
      <w:t xml:space="preserve">OPEN DISCLOSURE POLICY </w:t>
    </w:r>
  </w:p>
  <w:p w:rsidR="007F2B7A" w:rsidRDefault="007F2B7A">
    <w:pPr>
      <w:spacing w:after="0" w:line="259" w:lineRule="auto"/>
      <w:ind w:left="269"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7A" w:rsidRPr="002B0B0A" w:rsidRDefault="002B0B0A" w:rsidP="002B0B0A">
    <w:pPr>
      <w:pStyle w:val="Header"/>
    </w:pPr>
    <w:r>
      <w:rPr>
        <w:noProof/>
      </w:rPr>
      <mc:AlternateContent>
        <mc:Choice Requires="wps">
          <w:drawing>
            <wp:anchor distT="0" distB="0" distL="114300" distR="114300" simplePos="0" relativeHeight="251662336" behindDoc="0" locked="0" layoutInCell="1" allowOverlap="1" wp14:anchorId="29F61DA0" wp14:editId="61DB56D1">
              <wp:simplePos x="0" y="0"/>
              <wp:positionH relativeFrom="margin">
                <wp:posOffset>-419100</wp:posOffset>
              </wp:positionH>
              <wp:positionV relativeFrom="paragraph">
                <wp:posOffset>-276225</wp:posOffset>
              </wp:positionV>
              <wp:extent cx="3752850" cy="9144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3752850" cy="914400"/>
                      </a:xfrm>
                      <a:prstGeom prst="rect">
                        <a:avLst/>
                      </a:prstGeom>
                      <a:solidFill>
                        <a:sysClr val="window" lastClr="FFFFFF"/>
                      </a:solidFill>
                      <a:ln w="6350">
                        <a:solidFill>
                          <a:prstClr val="black"/>
                        </a:solidFill>
                      </a:ln>
                    </wps:spPr>
                    <wps:txbx>
                      <w:txbxContent>
                        <w:p w:rsidR="002B0B0A" w:rsidRDefault="002B0B0A" w:rsidP="002B0B0A">
                          <w:r>
                            <w:rPr>
                              <w:noProof/>
                            </w:rPr>
                            <w:drawing>
                              <wp:inline distT="0" distB="0" distL="0" distR="0" wp14:anchorId="69AD993D" wp14:editId="43DCBB16">
                                <wp:extent cx="504825" cy="68580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srcRect/>
                                        <a:stretch>
                                          <a:fillRect/>
                                        </a:stretch>
                                      </pic:blipFill>
                                      <pic:spPr bwMode="auto">
                                        <a:xfrm>
                                          <a:off x="0" y="0"/>
                                          <a:ext cx="504825" cy="685800"/>
                                        </a:xfrm>
                                        <a:prstGeom prst="rect">
                                          <a:avLst/>
                                        </a:prstGeom>
                                        <a:noFill/>
                                        <a:ln w="9525">
                                          <a:noFill/>
                                          <a:miter lim="800000"/>
                                          <a:headEnd/>
                                          <a:tailEnd/>
                                        </a:ln>
                                      </pic:spPr>
                                    </pic:pic>
                                  </a:graphicData>
                                </a:graphic>
                              </wp:inline>
                            </w:drawing>
                          </w:r>
                          <w:r w:rsidRPr="00696569">
                            <w:rPr>
                              <w:noProof/>
                            </w:rPr>
                            <w:drawing>
                              <wp:inline distT="0" distB="0" distL="0" distR="0" wp14:anchorId="0602137D" wp14:editId="18B24362">
                                <wp:extent cx="240030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F61DA0" id="_x0000_t202" coordsize="21600,21600" o:spt="202" path="m,l,21600r21600,l21600,xe">
              <v:stroke joinstyle="miter"/>
              <v:path gradientshapeok="t" o:connecttype="rect"/>
            </v:shapetype>
            <v:shape id="Text Box 8" o:spid="_x0000_s1027" type="#_x0000_t202" style="position:absolute;left:0;text-align:left;margin-left:-33pt;margin-top:-21.75pt;width:295.5pt;height:1in;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" fillcolor="window" strokeweight=".5pt">
              <v:textbox>
                <w:txbxContent>
                  <w:p w:rsidR="002B0B0A" w:rsidRDefault="002B0B0A" w:rsidP="002B0B0A">
                    <w:r>
                      <w:rPr>
                        <w:noProof/>
                      </w:rPr>
                      <w:drawing>
                        <wp:inline distT="0" distB="0" distL="0" distR="0" wp14:anchorId="69AD993D" wp14:editId="43DCBB16">
                          <wp:extent cx="504825" cy="685800"/>
                          <wp:effectExtent l="0" t="0" r="9525"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cstate="print"/>
                                  <a:srcRect/>
                                  <a:stretch>
                                    <a:fillRect/>
                                  </a:stretch>
                                </pic:blipFill>
                                <pic:spPr bwMode="auto">
                                  <a:xfrm>
                                    <a:off x="0" y="0"/>
                                    <a:ext cx="504825" cy="685800"/>
                                  </a:xfrm>
                                  <a:prstGeom prst="rect">
                                    <a:avLst/>
                                  </a:prstGeom>
                                  <a:noFill/>
                                  <a:ln w="9525">
                                    <a:noFill/>
                                    <a:miter lim="800000"/>
                                    <a:headEnd/>
                                    <a:tailEnd/>
                                  </a:ln>
                                </pic:spPr>
                              </pic:pic>
                            </a:graphicData>
                          </a:graphic>
                        </wp:inline>
                      </w:drawing>
                    </w:r>
                    <w:r w:rsidRPr="00696569">
                      <w:rPr>
                        <w:noProof/>
                      </w:rPr>
                      <w:drawing>
                        <wp:inline distT="0" distB="0" distL="0" distR="0" wp14:anchorId="0602137D" wp14:editId="18B24362">
                          <wp:extent cx="2400300"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80010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05A17"/>
    <w:multiLevelType w:val="hybridMultilevel"/>
    <w:tmpl w:val="0046F856"/>
    <w:lvl w:ilvl="0" w:tplc="98A68D8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B2FA36">
      <w:start w:val="1"/>
      <w:numFmt w:val="bullet"/>
      <w:lvlText w:val="o"/>
      <w:lvlJc w:val="left"/>
      <w:pPr>
        <w:ind w:left="118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7AE8FC">
      <w:start w:val="1"/>
      <w:numFmt w:val="bullet"/>
      <w:lvlText w:val="▪"/>
      <w:lvlJc w:val="left"/>
      <w:pPr>
        <w:ind w:left="19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C882EBC">
      <w:start w:val="1"/>
      <w:numFmt w:val="bullet"/>
      <w:lvlText w:val="•"/>
      <w:lvlJc w:val="left"/>
      <w:pPr>
        <w:ind w:left="2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845AD0">
      <w:start w:val="1"/>
      <w:numFmt w:val="bullet"/>
      <w:lvlText w:val="o"/>
      <w:lvlJc w:val="left"/>
      <w:pPr>
        <w:ind w:left="334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262DCCA">
      <w:start w:val="1"/>
      <w:numFmt w:val="bullet"/>
      <w:lvlText w:val="▪"/>
      <w:lvlJc w:val="left"/>
      <w:pPr>
        <w:ind w:left="406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24088B6">
      <w:start w:val="1"/>
      <w:numFmt w:val="bullet"/>
      <w:lvlText w:val="•"/>
      <w:lvlJc w:val="left"/>
      <w:pPr>
        <w:ind w:left="47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CCA6982">
      <w:start w:val="1"/>
      <w:numFmt w:val="bullet"/>
      <w:lvlText w:val="o"/>
      <w:lvlJc w:val="left"/>
      <w:pPr>
        <w:ind w:left="550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EEEA3F2">
      <w:start w:val="1"/>
      <w:numFmt w:val="bullet"/>
      <w:lvlText w:val="▪"/>
      <w:lvlJc w:val="left"/>
      <w:pPr>
        <w:ind w:left="62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A391066"/>
    <w:multiLevelType w:val="hybridMultilevel"/>
    <w:tmpl w:val="B75AA6CA"/>
    <w:lvl w:ilvl="0" w:tplc="24460748">
      <w:start w:val="1"/>
      <w:numFmt w:val="lowerLetter"/>
      <w:lvlText w:val="%1)"/>
      <w:lvlJc w:val="left"/>
      <w:pPr>
        <w:ind w:left="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B8DA8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2226C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64FD0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1A091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0EC72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96C28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5C83B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F8DD3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95443A"/>
    <w:multiLevelType w:val="hybridMultilevel"/>
    <w:tmpl w:val="2A3ED63A"/>
    <w:lvl w:ilvl="0" w:tplc="EFA8BF72">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C20A84">
      <w:start w:val="1"/>
      <w:numFmt w:val="bullet"/>
      <w:lvlText w:val="o"/>
      <w:lvlJc w:val="left"/>
      <w:pPr>
        <w:ind w:left="1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C0D64">
      <w:start w:val="1"/>
      <w:numFmt w:val="bullet"/>
      <w:lvlText w:val="▪"/>
      <w:lvlJc w:val="left"/>
      <w:pPr>
        <w:ind w:left="2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1EC8DA">
      <w:start w:val="1"/>
      <w:numFmt w:val="bullet"/>
      <w:lvlText w:val="•"/>
      <w:lvlJc w:val="left"/>
      <w:pPr>
        <w:ind w:left="3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E3800">
      <w:start w:val="1"/>
      <w:numFmt w:val="bullet"/>
      <w:lvlText w:val="o"/>
      <w:lvlJc w:val="left"/>
      <w:pPr>
        <w:ind w:left="3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34AD1C">
      <w:start w:val="1"/>
      <w:numFmt w:val="bullet"/>
      <w:lvlText w:val="▪"/>
      <w:lvlJc w:val="left"/>
      <w:pPr>
        <w:ind w:left="4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3C89C0">
      <w:start w:val="1"/>
      <w:numFmt w:val="bullet"/>
      <w:lvlText w:val="•"/>
      <w:lvlJc w:val="left"/>
      <w:pPr>
        <w:ind w:left="5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F87D2E">
      <w:start w:val="1"/>
      <w:numFmt w:val="bullet"/>
      <w:lvlText w:val="o"/>
      <w:lvlJc w:val="left"/>
      <w:pPr>
        <w:ind w:left="5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C8CCF8">
      <w:start w:val="1"/>
      <w:numFmt w:val="bullet"/>
      <w:lvlText w:val="▪"/>
      <w:lvlJc w:val="left"/>
      <w:pPr>
        <w:ind w:left="6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5D2B2D"/>
    <w:multiLevelType w:val="hybridMultilevel"/>
    <w:tmpl w:val="1AE0659A"/>
    <w:lvl w:ilvl="0" w:tplc="40D0DAF4">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E4D1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AC3D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EA70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10ED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A2B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8BF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BA7D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483F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7B11A7B"/>
    <w:multiLevelType w:val="hybridMultilevel"/>
    <w:tmpl w:val="842620C8"/>
    <w:lvl w:ilvl="0" w:tplc="FD241930">
      <w:start w:val="1"/>
      <w:numFmt w:val="bullet"/>
      <w:lvlText w:val=""/>
      <w:lvlJc w:val="left"/>
      <w:pPr>
        <w:ind w:left="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7E180A">
      <w:start w:val="1"/>
      <w:numFmt w:val="bullet"/>
      <w:lvlText w:val="o"/>
      <w:lvlJc w:val="left"/>
      <w:pPr>
        <w:ind w:left="1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D0F7D0">
      <w:start w:val="1"/>
      <w:numFmt w:val="bullet"/>
      <w:lvlText w:val="▪"/>
      <w:lvlJc w:val="left"/>
      <w:pPr>
        <w:ind w:left="2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C05820">
      <w:start w:val="1"/>
      <w:numFmt w:val="bullet"/>
      <w:lvlText w:val="•"/>
      <w:lvlJc w:val="left"/>
      <w:pPr>
        <w:ind w:left="30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44B0C6">
      <w:start w:val="1"/>
      <w:numFmt w:val="bullet"/>
      <w:lvlText w:val="o"/>
      <w:lvlJc w:val="left"/>
      <w:pPr>
        <w:ind w:left="3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1E582E">
      <w:start w:val="1"/>
      <w:numFmt w:val="bullet"/>
      <w:lvlText w:val="▪"/>
      <w:lvlJc w:val="left"/>
      <w:pPr>
        <w:ind w:left="4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683C02">
      <w:start w:val="1"/>
      <w:numFmt w:val="bullet"/>
      <w:lvlText w:val="•"/>
      <w:lvlJc w:val="left"/>
      <w:pPr>
        <w:ind w:left="51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223126">
      <w:start w:val="1"/>
      <w:numFmt w:val="bullet"/>
      <w:lvlText w:val="o"/>
      <w:lvlJc w:val="left"/>
      <w:pPr>
        <w:ind w:left="58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67C19AE">
      <w:start w:val="1"/>
      <w:numFmt w:val="bullet"/>
      <w:lvlText w:val="▪"/>
      <w:lvlJc w:val="left"/>
      <w:pPr>
        <w:ind w:left="66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8051F2"/>
    <w:multiLevelType w:val="hybridMultilevel"/>
    <w:tmpl w:val="08305772"/>
    <w:lvl w:ilvl="0" w:tplc="152EE0B2">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FCC0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0A7F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F463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4F2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30D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0CFD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A6F6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56E6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7A"/>
    <w:rsid w:val="000277F9"/>
    <w:rsid w:val="00080120"/>
    <w:rsid w:val="000D477B"/>
    <w:rsid w:val="002638FA"/>
    <w:rsid w:val="002B0B0A"/>
    <w:rsid w:val="002D13A7"/>
    <w:rsid w:val="00367BE7"/>
    <w:rsid w:val="004349A3"/>
    <w:rsid w:val="004F1626"/>
    <w:rsid w:val="00731E93"/>
    <w:rsid w:val="007F2B7A"/>
    <w:rsid w:val="009577D0"/>
    <w:rsid w:val="009D097E"/>
    <w:rsid w:val="00A453B1"/>
    <w:rsid w:val="00A51F8A"/>
    <w:rsid w:val="00CA3192"/>
    <w:rsid w:val="00E85969"/>
    <w:rsid w:val="00FB7D27"/>
    <w:rsid w:val="00FF51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172E9C"/>
  <w15:docId w15:val="{228D85DC-3203-4E6F-BA3B-C2EAFA0B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279" w:right="133"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 w:line="250" w:lineRule="auto"/>
      <w:ind w:left="279"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rsid w:val="00FB7D27"/>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B7D27"/>
    <w:pPr>
      <w:ind w:left="720"/>
      <w:contextualSpacing/>
    </w:pPr>
  </w:style>
  <w:style w:type="paragraph" w:styleId="BalloonText">
    <w:name w:val="Balloon Text"/>
    <w:basedOn w:val="Normal"/>
    <w:link w:val="BalloonTextChar"/>
    <w:uiPriority w:val="99"/>
    <w:semiHidden/>
    <w:unhideWhenUsed/>
    <w:rsid w:val="00FF51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73"/>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2B0B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0B0A"/>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emf"/><Relationship Id="rId1" Type="http://schemas.openxmlformats.org/officeDocument/2006/relationships/image" Target="media/image2.wmf"/><Relationship Id="rId4" Type="http://schemas.openxmlformats.org/officeDocument/2006/relationships/image" Target="media/image2.emf"/></Relationships>
</file>

<file path=word/_rels/header3.xml.rels><?xml version="1.0" encoding="UTF-8" standalone="yes"?>
<Relationships xmlns="http://schemas.openxmlformats.org/package/2006/relationships"><Relationship Id="rId3" Type="http://schemas.openxmlformats.org/officeDocument/2006/relationships/image" Target="media/image20.wmf"/><Relationship Id="rId2" Type="http://schemas.openxmlformats.org/officeDocument/2006/relationships/image" Target="media/image3.emf"/><Relationship Id="rId1" Type="http://schemas.openxmlformats.org/officeDocument/2006/relationships/image" Target="media/image2.wmf"/><Relationship Id="rId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MHC</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cp:lastModifiedBy>Suzanne George</cp:lastModifiedBy>
  <cp:revision>4</cp:revision>
  <cp:lastPrinted>2021-03-18T02:53:00Z</cp:lastPrinted>
  <dcterms:created xsi:type="dcterms:W3CDTF">2021-03-18T03:19:00Z</dcterms:created>
  <dcterms:modified xsi:type="dcterms:W3CDTF">2021-04-25T23:56:00Z</dcterms:modified>
</cp:coreProperties>
</file>