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342" w:rsidRDefault="00D30342" w:rsidP="00D30342">
      <w:pPr>
        <w:jc w:val="center"/>
        <w:rPr>
          <w:b/>
          <w:bCs/>
          <w:sz w:val="52"/>
        </w:rPr>
      </w:pPr>
    </w:p>
    <w:p w:rsidR="00D30342" w:rsidRDefault="00D30342" w:rsidP="00D30342">
      <w:pPr>
        <w:jc w:val="center"/>
        <w:rPr>
          <w:b/>
          <w:bCs/>
          <w:sz w:val="52"/>
        </w:rPr>
      </w:pPr>
    </w:p>
    <w:p w:rsidR="001002D6" w:rsidRDefault="001E4D50" w:rsidP="001002D6">
      <w:pPr>
        <w:jc w:val="center"/>
      </w:pPr>
      <w:r>
        <w:rPr>
          <w:b/>
          <w:bCs/>
          <w:noProof/>
          <w:sz w:val="20"/>
        </w:rPr>
        <mc:AlternateContent>
          <mc:Choice Requires="wps">
            <w:drawing>
              <wp:anchor distT="0" distB="0" distL="114300" distR="114300" simplePos="0" relativeHeight="251657216" behindDoc="0" locked="0" layoutInCell="1" allowOverlap="1">
                <wp:simplePos x="0" y="0"/>
                <wp:positionH relativeFrom="column">
                  <wp:posOffset>226695</wp:posOffset>
                </wp:positionH>
                <wp:positionV relativeFrom="paragraph">
                  <wp:posOffset>79375</wp:posOffset>
                </wp:positionV>
                <wp:extent cx="1028700" cy="1028700"/>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E9" w:rsidRPr="00E42B0D" w:rsidRDefault="009C29E9" w:rsidP="00D30342">
                            <w:r>
                              <w:rPr>
                                <w:noProof/>
                              </w:rPr>
                              <w:drawing>
                                <wp:inline distT="0" distB="0" distL="0" distR="0">
                                  <wp:extent cx="838200" cy="8763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838200" cy="8763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85pt;margin-top:6.25pt;width:81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" stroked="f">
                <v:textbox>
                  <w:txbxContent>
                    <w:p w:rsidR="009C29E9" w:rsidRPr="00E42B0D" w:rsidRDefault="009C29E9" w:rsidP="00D30342">
                      <w:r>
                        <w:rPr>
                          <w:noProof/>
                        </w:rPr>
                        <w:drawing>
                          <wp:inline distT="0" distB="0" distL="0" distR="0">
                            <wp:extent cx="838200" cy="8763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838200" cy="876300"/>
                                    </a:xfrm>
                                    <a:prstGeom prst="rect">
                                      <a:avLst/>
                                    </a:prstGeom>
                                    <a:noFill/>
                                    <a:ln w="9525">
                                      <a:noFill/>
                                      <a:miter lim="800000"/>
                                      <a:headEnd/>
                                      <a:tailEnd/>
                                    </a:ln>
                                  </pic:spPr>
                                </pic:pic>
                              </a:graphicData>
                            </a:graphic>
                          </wp:inline>
                        </w:drawing>
                      </w:r>
                    </w:p>
                  </w:txbxContent>
                </v:textbox>
              </v:shape>
            </w:pict>
          </mc:Fallback>
        </mc:AlternateContent>
      </w:r>
      <w:r w:rsidR="00D30342">
        <w:tab/>
      </w:r>
      <w:r w:rsidR="00D30342">
        <w:tab/>
      </w:r>
    </w:p>
    <w:p w:rsidR="00D30342" w:rsidRPr="001002D6" w:rsidRDefault="00D30342" w:rsidP="001002D6">
      <w:pPr>
        <w:jc w:val="center"/>
        <w:rPr>
          <w:rFonts w:asciiTheme="minorHAnsi" w:hAnsiTheme="minorHAnsi" w:cstheme="minorHAnsi"/>
          <w:b/>
          <w:bCs/>
          <w:i/>
          <w:iCs/>
          <w:sz w:val="52"/>
        </w:rPr>
      </w:pPr>
      <w:r w:rsidRPr="001002D6">
        <w:rPr>
          <w:rFonts w:asciiTheme="minorHAnsi" w:hAnsiTheme="minorHAnsi" w:cstheme="minorHAnsi"/>
          <w:b/>
          <w:bCs/>
          <w:i/>
          <w:iCs/>
          <w:sz w:val="52"/>
        </w:rPr>
        <w:t xml:space="preserve">THE </w:t>
      </w:r>
      <w:r w:rsidR="00444024" w:rsidRPr="001002D6">
        <w:rPr>
          <w:rFonts w:asciiTheme="minorHAnsi" w:hAnsiTheme="minorHAnsi" w:cstheme="minorHAnsi"/>
          <w:b/>
          <w:bCs/>
          <w:i/>
          <w:iCs/>
          <w:sz w:val="52"/>
        </w:rPr>
        <w:t>MALVERN</w:t>
      </w:r>
    </w:p>
    <w:p w:rsidR="00D30342" w:rsidRPr="001002D6" w:rsidRDefault="001E4D50" w:rsidP="00D30342">
      <w:pPr>
        <w:pStyle w:val="Caption"/>
        <w:tabs>
          <w:tab w:val="left" w:pos="2160"/>
        </w:tabs>
        <w:jc w:val="left"/>
        <w:rPr>
          <w:rFonts w:asciiTheme="minorHAnsi" w:hAnsiTheme="minorHAnsi" w:cstheme="minorHAnsi"/>
        </w:rPr>
      </w:pPr>
      <w:r w:rsidRPr="001002D6">
        <w:rPr>
          <w:rFonts w:asciiTheme="minorHAnsi" w:hAnsiTheme="minorHAnsi" w:cstheme="minorHAnsi"/>
          <w:noProof/>
          <w:lang w:eastAsia="en-AU"/>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346710</wp:posOffset>
                </wp:positionV>
                <wp:extent cx="3086100" cy="0"/>
                <wp:effectExtent l="17145" t="15240" r="20955"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285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8954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7.3pt" to="351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" strokecolor="teal" strokeweight="2.25pt"/>
            </w:pict>
          </mc:Fallback>
        </mc:AlternateContent>
      </w:r>
      <w:r w:rsidR="00D30342" w:rsidRPr="001002D6">
        <w:rPr>
          <w:rFonts w:asciiTheme="minorHAnsi" w:hAnsiTheme="minorHAnsi" w:cstheme="minorHAnsi"/>
        </w:rPr>
        <w:tab/>
        <w:t>PRIVATE HOSPITAL</w:t>
      </w:r>
    </w:p>
    <w:p w:rsidR="00D30342" w:rsidRDefault="00D30342" w:rsidP="00D30342">
      <w:pPr>
        <w:tabs>
          <w:tab w:val="num" w:pos="720"/>
        </w:tabs>
        <w:ind w:left="360"/>
        <w:rPr>
          <w:b/>
          <w:bCs/>
          <w:sz w:val="52"/>
        </w:rPr>
      </w:pPr>
      <w:r>
        <w:tab/>
      </w:r>
    </w:p>
    <w:p w:rsidR="00D30342" w:rsidRPr="0055471B" w:rsidRDefault="00444024" w:rsidP="00D30342">
      <w:pPr>
        <w:jc w:val="center"/>
      </w:pPr>
      <w:r>
        <w:rPr>
          <w:noProof/>
        </w:rPr>
        <w:drawing>
          <wp:inline distT="0" distB="0" distL="0" distR="0">
            <wp:extent cx="4273550" cy="3205163"/>
            <wp:effectExtent l="19050" t="0" r="0" b="0"/>
            <wp:docPr id="6" name="Picture 1" descr="P:\6-Malvern\PHOTOS\SDC1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6-Malvern\PHOTOS\SDC10828.JPG"/>
                    <pic:cNvPicPr>
                      <a:picLocks noChangeAspect="1" noChangeArrowheads="1"/>
                    </pic:cNvPicPr>
                  </pic:nvPicPr>
                  <pic:blipFill>
                    <a:blip r:embed="rId9" cstate="print"/>
                    <a:srcRect/>
                    <a:stretch>
                      <a:fillRect/>
                    </a:stretch>
                  </pic:blipFill>
                  <pic:spPr bwMode="auto">
                    <a:xfrm>
                      <a:off x="0" y="0"/>
                      <a:ext cx="4274579" cy="3205934"/>
                    </a:xfrm>
                    <a:prstGeom prst="rect">
                      <a:avLst/>
                    </a:prstGeom>
                    <a:noFill/>
                    <a:ln w="9525">
                      <a:noFill/>
                      <a:miter lim="800000"/>
                      <a:headEnd/>
                      <a:tailEnd/>
                    </a:ln>
                  </pic:spPr>
                </pic:pic>
              </a:graphicData>
            </a:graphic>
          </wp:inline>
        </w:drawing>
      </w:r>
      <w:bookmarkStart w:id="0" w:name="_GoBack"/>
      <w:bookmarkEnd w:id="0"/>
    </w:p>
    <w:p w:rsidR="00D30342" w:rsidRDefault="00D30342" w:rsidP="00D30342"/>
    <w:p w:rsidR="00D30342" w:rsidRDefault="00D30342" w:rsidP="00D30342">
      <w:pPr>
        <w:jc w:val="center"/>
        <w:rPr>
          <w:rFonts w:ascii="Arial" w:hAnsi="Arial" w:cs="Arial"/>
          <w:b/>
          <w:bCs/>
          <w:sz w:val="52"/>
        </w:rPr>
      </w:pPr>
    </w:p>
    <w:p w:rsidR="00D30342" w:rsidRDefault="00D30342" w:rsidP="00D30342">
      <w:pPr>
        <w:jc w:val="center"/>
        <w:rPr>
          <w:rFonts w:ascii="Arial" w:hAnsi="Arial" w:cs="Arial"/>
          <w:b/>
          <w:bCs/>
          <w:sz w:val="52"/>
        </w:rPr>
      </w:pPr>
      <w:r>
        <w:rPr>
          <w:rFonts w:ascii="Arial" w:hAnsi="Arial" w:cs="Arial"/>
          <w:b/>
          <w:bCs/>
          <w:sz w:val="52"/>
        </w:rPr>
        <w:t xml:space="preserve">BY-LAWS </w:t>
      </w:r>
    </w:p>
    <w:p w:rsidR="00D30342" w:rsidRDefault="00D30342" w:rsidP="00D30342">
      <w:pPr>
        <w:jc w:val="center"/>
        <w:rPr>
          <w:rFonts w:ascii="Arial" w:hAnsi="Arial" w:cs="Arial"/>
          <w:b/>
          <w:bCs/>
          <w:sz w:val="52"/>
        </w:rPr>
      </w:pPr>
    </w:p>
    <w:p w:rsidR="00D30342" w:rsidRDefault="00D30342" w:rsidP="00D30342">
      <w:pPr>
        <w:jc w:val="center"/>
        <w:rPr>
          <w:rFonts w:ascii="Arial" w:hAnsi="Arial" w:cs="Arial"/>
          <w:b/>
          <w:bCs/>
          <w:sz w:val="52"/>
        </w:rPr>
      </w:pPr>
      <w:r>
        <w:rPr>
          <w:rFonts w:ascii="Arial" w:hAnsi="Arial" w:cs="Arial"/>
          <w:b/>
          <w:bCs/>
          <w:sz w:val="52"/>
        </w:rPr>
        <w:t>For</w:t>
      </w:r>
    </w:p>
    <w:p w:rsidR="00D30342" w:rsidRPr="00CF476C" w:rsidRDefault="00D30342" w:rsidP="00D30342">
      <w:pPr>
        <w:jc w:val="center"/>
        <w:rPr>
          <w:rFonts w:ascii="Arial Black" w:hAnsi="Arial Black"/>
          <w:b/>
          <w:bCs/>
          <w:sz w:val="44"/>
          <w:szCs w:val="44"/>
        </w:rPr>
      </w:pPr>
      <w:r w:rsidRPr="00CF476C">
        <w:rPr>
          <w:rFonts w:ascii="Arial Black" w:hAnsi="Arial Black" w:cs="Arial"/>
          <w:b/>
          <w:bCs/>
          <w:sz w:val="44"/>
          <w:szCs w:val="44"/>
        </w:rPr>
        <w:t xml:space="preserve">Visiting </w:t>
      </w:r>
      <w:r w:rsidR="00CF476C" w:rsidRPr="00CF476C">
        <w:rPr>
          <w:rFonts w:ascii="Arial Black" w:hAnsi="Arial Black" w:cs="Arial"/>
          <w:b/>
          <w:bCs/>
          <w:sz w:val="44"/>
          <w:szCs w:val="44"/>
        </w:rPr>
        <w:t>P</w:t>
      </w:r>
      <w:r w:rsidRPr="00CF476C">
        <w:rPr>
          <w:rFonts w:ascii="Arial Black" w:hAnsi="Arial Black" w:cs="Arial"/>
          <w:b/>
          <w:bCs/>
          <w:sz w:val="44"/>
          <w:szCs w:val="44"/>
        </w:rPr>
        <w:t>ractitioners</w:t>
      </w:r>
      <w:r w:rsidR="005F50E8">
        <w:rPr>
          <w:rFonts w:ascii="Arial Black" w:hAnsi="Arial Black" w:cs="Arial"/>
          <w:b/>
          <w:bCs/>
          <w:sz w:val="44"/>
          <w:szCs w:val="44"/>
        </w:rPr>
        <w:t xml:space="preserve"> (VP)</w:t>
      </w:r>
    </w:p>
    <w:p w:rsidR="00D30342" w:rsidRDefault="00D30342" w:rsidP="00D30342">
      <w:pPr>
        <w:pStyle w:val="Footer"/>
        <w:jc w:val="right"/>
        <w:rPr>
          <w:b/>
          <w:bCs w:val="0"/>
        </w:rPr>
      </w:pPr>
    </w:p>
    <w:p w:rsidR="00D30342" w:rsidRDefault="00D30342" w:rsidP="00D30342">
      <w:pPr>
        <w:pStyle w:val="Footer"/>
        <w:jc w:val="right"/>
        <w:rPr>
          <w:b/>
          <w:bCs w:val="0"/>
        </w:rPr>
      </w:pPr>
    </w:p>
    <w:p w:rsidR="00D30342" w:rsidRDefault="00D30342" w:rsidP="00D30342">
      <w:pPr>
        <w:pStyle w:val="Footer"/>
        <w:jc w:val="right"/>
        <w:rPr>
          <w:b/>
          <w:bCs w:val="0"/>
        </w:rPr>
      </w:pPr>
    </w:p>
    <w:p w:rsidR="00D30342" w:rsidRDefault="00D30342" w:rsidP="00D30342">
      <w:pPr>
        <w:pStyle w:val="Footer"/>
        <w:jc w:val="right"/>
        <w:rPr>
          <w:b/>
          <w:bCs w:val="0"/>
        </w:rPr>
      </w:pPr>
    </w:p>
    <w:p w:rsidR="00D30342" w:rsidRDefault="00D30342" w:rsidP="00D30342">
      <w:pPr>
        <w:pStyle w:val="Footer"/>
        <w:jc w:val="right"/>
        <w:rPr>
          <w:b/>
          <w:bCs w:val="0"/>
        </w:rPr>
      </w:pPr>
    </w:p>
    <w:p w:rsidR="00C17FB9" w:rsidRDefault="004A293C" w:rsidP="00C17FB9">
      <w:pPr>
        <w:jc w:val="center"/>
        <w:rPr>
          <w:rFonts w:ascii="Arial" w:hAnsi="Arial" w:cs="Arial"/>
          <w:b/>
          <w:bCs/>
          <w:sz w:val="52"/>
        </w:rPr>
      </w:pPr>
      <w:r>
        <w:rPr>
          <w:rFonts w:ascii="Arial" w:hAnsi="Arial" w:cs="Arial"/>
          <w:b/>
          <w:bCs/>
          <w:sz w:val="52"/>
        </w:rPr>
        <w:lastRenderedPageBreak/>
        <w:t>I</w:t>
      </w:r>
      <w:r w:rsidR="00C17FB9">
        <w:rPr>
          <w:rFonts w:ascii="Arial" w:hAnsi="Arial" w:cs="Arial"/>
          <w:b/>
          <w:bCs/>
          <w:sz w:val="52"/>
        </w:rPr>
        <w:t xml:space="preserve">NDEX </w:t>
      </w:r>
    </w:p>
    <w:p w:rsidR="00C17FB9" w:rsidRPr="00C17FB9" w:rsidRDefault="00C17FB9" w:rsidP="00C17FB9">
      <w:pPr>
        <w:jc w:val="center"/>
        <w:rPr>
          <w:rFonts w:ascii="Arial Black" w:hAnsi="Arial Black" w:cs="Arial"/>
          <w:b/>
          <w:bCs/>
          <w:sz w:val="32"/>
          <w:szCs w:val="32"/>
        </w:rPr>
      </w:pPr>
      <w:r w:rsidRPr="00C17FB9">
        <w:rPr>
          <w:rFonts w:ascii="Arial Black" w:hAnsi="Arial Black" w:cs="Arial"/>
          <w:b/>
          <w:bCs/>
          <w:sz w:val="32"/>
          <w:szCs w:val="32"/>
        </w:rPr>
        <w:t>By-Laws for Visiting Practitioners</w:t>
      </w:r>
    </w:p>
    <w:p w:rsidR="00754592" w:rsidRPr="003D6B00" w:rsidRDefault="00754592" w:rsidP="00C17FB9">
      <w:pPr>
        <w:rPr>
          <w:rFonts w:ascii="Arial" w:hAnsi="Arial" w:cs="Arial"/>
          <w:b/>
          <w:bCs/>
          <w:noProof/>
          <w:color w:val="31849B" w:themeColor="accent5" w:themeShade="BF"/>
          <w:sz w:val="23"/>
          <w:szCs w:val="23"/>
        </w:rPr>
      </w:pPr>
      <w:r w:rsidRPr="00754592">
        <w:rPr>
          <w:rFonts w:ascii="Arial" w:hAnsi="Arial" w:cs="Arial"/>
          <w:b/>
          <w:bCs/>
          <w:noProof/>
          <w:color w:val="31849B" w:themeColor="accent5" w:themeShade="BF"/>
          <w:sz w:val="24"/>
          <w:szCs w:val="24"/>
        </w:rPr>
        <w:t>A</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APPEALS MECHANISM / SUSPENSION OF RIGHT TO PRACTISE </w:t>
      </w:r>
      <w:r w:rsidR="00BB03BA" w:rsidRPr="003D6B00">
        <w:rPr>
          <w:rFonts w:ascii="Arial" w:hAnsi="Arial" w:cs="Arial"/>
          <w:bCs/>
          <w:noProof/>
          <w:sz w:val="23"/>
          <w:szCs w:val="23"/>
        </w:rPr>
        <w:tab/>
      </w:r>
      <w:r w:rsidR="001006A6" w:rsidRPr="003D6B00">
        <w:rPr>
          <w:rFonts w:ascii="Arial" w:hAnsi="Arial" w:cs="Arial"/>
          <w:bCs/>
          <w:noProof/>
          <w:sz w:val="23"/>
          <w:szCs w:val="23"/>
        </w:rPr>
        <w:t>5</w:t>
      </w:r>
    </w:p>
    <w:p w:rsidR="00C17FB9" w:rsidRPr="003D6B00" w:rsidRDefault="009F4E13" w:rsidP="00C17FB9">
      <w:pPr>
        <w:rPr>
          <w:rFonts w:ascii="Arial" w:hAnsi="Arial" w:cs="Arial"/>
          <w:b/>
          <w:bCs/>
          <w:noProof/>
          <w:color w:val="31849B" w:themeColor="accent5" w:themeShade="BF"/>
          <w:sz w:val="23"/>
          <w:szCs w:val="23"/>
        </w:rPr>
      </w:pPr>
      <w:r w:rsidRPr="003D6B00">
        <w:rPr>
          <w:rFonts w:ascii="Arial" w:hAnsi="Arial" w:cs="Arial"/>
          <w:b/>
          <w:bCs/>
          <w:noProof/>
          <w:color w:val="31849B" w:themeColor="accent5" w:themeShade="BF"/>
          <w:sz w:val="23"/>
          <w:szCs w:val="23"/>
        </w:rPr>
        <w:t>B</w:t>
      </w:r>
    </w:p>
    <w:p w:rsidR="009F4E13"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BY LAWS FOR VISITING PRACTITIONERS </w:t>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1006A6" w:rsidRPr="003D6B00">
        <w:rPr>
          <w:rFonts w:ascii="Arial" w:hAnsi="Arial" w:cs="Arial"/>
          <w:bCs/>
          <w:noProof/>
          <w:sz w:val="23"/>
          <w:szCs w:val="23"/>
        </w:rPr>
        <w:t>3</w:t>
      </w:r>
    </w:p>
    <w:p w:rsidR="009F4E13" w:rsidRPr="003D6B00" w:rsidRDefault="009F4E13" w:rsidP="00C17FB9">
      <w:pPr>
        <w:rPr>
          <w:rFonts w:ascii="Arial" w:hAnsi="Arial" w:cs="Arial"/>
          <w:b/>
          <w:bCs/>
          <w:noProof/>
          <w:color w:val="31849B" w:themeColor="accent5" w:themeShade="BF"/>
          <w:sz w:val="23"/>
          <w:szCs w:val="23"/>
        </w:rPr>
      </w:pPr>
      <w:r w:rsidRPr="003D6B00">
        <w:rPr>
          <w:rFonts w:ascii="Arial" w:hAnsi="Arial" w:cs="Arial"/>
          <w:b/>
          <w:bCs/>
          <w:noProof/>
          <w:color w:val="31849B" w:themeColor="accent5" w:themeShade="BF"/>
          <w:sz w:val="23"/>
          <w:szCs w:val="23"/>
        </w:rPr>
        <w:t>C</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CLINICAL INCIDENTS V</w:t>
      </w:r>
      <w:r w:rsidR="00BB03BA" w:rsidRPr="003D6B00">
        <w:rPr>
          <w:rFonts w:ascii="Arial" w:hAnsi="Arial" w:cs="Arial"/>
          <w:bCs/>
          <w:noProof/>
          <w:sz w:val="23"/>
          <w:szCs w:val="23"/>
        </w:rPr>
        <w:t>ISITING PRACTITIONERS</w:t>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1006A6" w:rsidRPr="003D6B00">
        <w:rPr>
          <w:rFonts w:ascii="Arial" w:hAnsi="Arial" w:cs="Arial"/>
          <w:bCs/>
          <w:noProof/>
          <w:sz w:val="23"/>
          <w:szCs w:val="23"/>
        </w:rPr>
        <w:t>6</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CONDUCT OF SURGERY </w:t>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6D3BA4" w:rsidRPr="003D6B00">
        <w:rPr>
          <w:rFonts w:ascii="Arial" w:hAnsi="Arial" w:cs="Arial"/>
          <w:bCs/>
          <w:noProof/>
          <w:sz w:val="23"/>
          <w:szCs w:val="23"/>
        </w:rPr>
        <w:t>7</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CLINICAL REVIEW </w:t>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1006A6" w:rsidRPr="003D6B00">
        <w:rPr>
          <w:rFonts w:ascii="Arial" w:hAnsi="Arial" w:cs="Arial"/>
          <w:bCs/>
          <w:noProof/>
          <w:sz w:val="23"/>
          <w:szCs w:val="23"/>
        </w:rPr>
        <w:t>8</w:t>
      </w:r>
    </w:p>
    <w:p w:rsidR="003D6B00" w:rsidRPr="003D6B00" w:rsidRDefault="00754592" w:rsidP="00C17FB9">
      <w:pPr>
        <w:rPr>
          <w:rFonts w:ascii="Arial" w:hAnsi="Arial" w:cs="Arial"/>
          <w:bCs/>
          <w:noProof/>
          <w:sz w:val="23"/>
          <w:szCs w:val="23"/>
        </w:rPr>
      </w:pPr>
      <w:r w:rsidRPr="003D6B00">
        <w:rPr>
          <w:rFonts w:ascii="Arial" w:hAnsi="Arial" w:cs="Arial"/>
          <w:bCs/>
          <w:noProof/>
          <w:sz w:val="23"/>
          <w:szCs w:val="23"/>
        </w:rPr>
        <w:t>CONSENT</w:t>
      </w:r>
    </w:p>
    <w:p w:rsidR="00754592" w:rsidRPr="003D6B00" w:rsidRDefault="003D6B00" w:rsidP="00C17FB9">
      <w:pPr>
        <w:rPr>
          <w:rFonts w:ascii="Arial" w:hAnsi="Arial" w:cs="Arial"/>
          <w:bCs/>
          <w:noProof/>
          <w:sz w:val="23"/>
          <w:szCs w:val="23"/>
        </w:rPr>
      </w:pPr>
      <w:r w:rsidRPr="003D6B00">
        <w:rPr>
          <w:rFonts w:ascii="Arial" w:hAnsi="Arial" w:cs="Arial"/>
          <w:bCs/>
          <w:noProof/>
          <w:sz w:val="23"/>
          <w:szCs w:val="23"/>
        </w:rPr>
        <w:t>CREDENTIALING</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t>5</w:t>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p>
    <w:p w:rsidR="009F4E13" w:rsidRPr="003D6B00" w:rsidRDefault="009F4E13" w:rsidP="00C17FB9">
      <w:pPr>
        <w:rPr>
          <w:rFonts w:ascii="Arial" w:hAnsi="Arial" w:cs="Arial"/>
          <w:b/>
          <w:bCs/>
          <w:noProof/>
          <w:color w:val="31849B" w:themeColor="accent5" w:themeShade="BF"/>
          <w:sz w:val="23"/>
          <w:szCs w:val="23"/>
        </w:rPr>
      </w:pPr>
      <w:r w:rsidRPr="003D6B00">
        <w:rPr>
          <w:rFonts w:ascii="Arial" w:hAnsi="Arial" w:cs="Arial"/>
          <w:b/>
          <w:bCs/>
          <w:noProof/>
          <w:color w:val="31849B" w:themeColor="accent5" w:themeShade="BF"/>
          <w:sz w:val="23"/>
          <w:szCs w:val="23"/>
        </w:rPr>
        <w:t>D</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DISCLOSURE OF PECUNIARY INTERESTS </w:t>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6D3BA4" w:rsidRPr="003D6B00">
        <w:rPr>
          <w:rFonts w:ascii="Arial" w:hAnsi="Arial" w:cs="Arial"/>
          <w:bCs/>
          <w:noProof/>
          <w:sz w:val="23"/>
          <w:szCs w:val="23"/>
        </w:rPr>
        <w:t>8</w:t>
      </w:r>
    </w:p>
    <w:p w:rsidR="009F4E13" w:rsidRPr="003D6B00" w:rsidRDefault="009F4E13" w:rsidP="00C17FB9">
      <w:pPr>
        <w:rPr>
          <w:rFonts w:ascii="Arial" w:hAnsi="Arial" w:cs="Arial"/>
          <w:b/>
          <w:bCs/>
          <w:noProof/>
          <w:color w:val="31849B" w:themeColor="accent5" w:themeShade="BF"/>
          <w:sz w:val="23"/>
          <w:szCs w:val="23"/>
        </w:rPr>
      </w:pPr>
      <w:r w:rsidRPr="003D6B00">
        <w:rPr>
          <w:rFonts w:ascii="Arial" w:hAnsi="Arial" w:cs="Arial"/>
          <w:b/>
          <w:bCs/>
          <w:noProof/>
          <w:color w:val="31849B" w:themeColor="accent5" w:themeShade="BF"/>
          <w:sz w:val="23"/>
          <w:szCs w:val="23"/>
        </w:rPr>
        <w:t>E</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ETHICS </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00BB03BA" w:rsidRPr="003D6B00">
        <w:rPr>
          <w:rFonts w:ascii="Arial" w:hAnsi="Arial" w:cs="Arial"/>
          <w:bCs/>
          <w:noProof/>
          <w:sz w:val="23"/>
          <w:szCs w:val="23"/>
        </w:rPr>
        <w:tab/>
      </w:r>
      <w:r w:rsidR="00BB03BA" w:rsidRPr="003D6B00">
        <w:rPr>
          <w:rFonts w:ascii="Arial" w:hAnsi="Arial" w:cs="Arial"/>
          <w:bCs/>
          <w:noProof/>
          <w:sz w:val="23"/>
          <w:szCs w:val="23"/>
        </w:rPr>
        <w:tab/>
      </w:r>
      <w:r w:rsidR="001006A6" w:rsidRPr="003D6B00">
        <w:rPr>
          <w:rFonts w:ascii="Arial" w:hAnsi="Arial" w:cs="Arial"/>
          <w:bCs/>
          <w:noProof/>
          <w:sz w:val="23"/>
          <w:szCs w:val="23"/>
        </w:rPr>
        <w:t>8</w:t>
      </w:r>
    </w:p>
    <w:p w:rsidR="009F4E13" w:rsidRPr="003D6B00" w:rsidRDefault="009F4E13" w:rsidP="00C17FB9">
      <w:pPr>
        <w:rPr>
          <w:rFonts w:ascii="Arial" w:hAnsi="Arial" w:cs="Arial"/>
          <w:b/>
          <w:bCs/>
          <w:noProof/>
          <w:color w:val="31849B" w:themeColor="accent5" w:themeShade="BF"/>
          <w:sz w:val="23"/>
          <w:szCs w:val="23"/>
        </w:rPr>
      </w:pPr>
      <w:r w:rsidRPr="003D6B00">
        <w:rPr>
          <w:rFonts w:ascii="Arial" w:hAnsi="Arial" w:cs="Arial"/>
          <w:b/>
          <w:bCs/>
          <w:noProof/>
          <w:color w:val="31849B" w:themeColor="accent5" w:themeShade="BF"/>
          <w:sz w:val="23"/>
          <w:szCs w:val="23"/>
        </w:rPr>
        <w:t>G</w:t>
      </w:r>
    </w:p>
    <w:p w:rsidR="009F4E13"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GOVERNANCE ISSUES </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001006A6" w:rsidRPr="003D6B00">
        <w:rPr>
          <w:rFonts w:ascii="Arial" w:hAnsi="Arial" w:cs="Arial"/>
          <w:bCs/>
          <w:noProof/>
          <w:sz w:val="23"/>
          <w:szCs w:val="23"/>
        </w:rPr>
        <w:t>3</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GENERAL DISCLOSURE </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001006A6" w:rsidRPr="003D6B00">
        <w:rPr>
          <w:rFonts w:ascii="Arial" w:hAnsi="Arial" w:cs="Arial"/>
          <w:bCs/>
          <w:noProof/>
          <w:sz w:val="23"/>
          <w:szCs w:val="23"/>
        </w:rPr>
        <w:t>9</w:t>
      </w:r>
    </w:p>
    <w:p w:rsidR="009F4E13" w:rsidRPr="003D6B00" w:rsidRDefault="009F4E13" w:rsidP="00C17FB9">
      <w:pPr>
        <w:rPr>
          <w:rFonts w:ascii="Arial" w:hAnsi="Arial" w:cs="Arial"/>
          <w:b/>
          <w:bCs/>
          <w:noProof/>
          <w:color w:val="31849B" w:themeColor="accent5" w:themeShade="BF"/>
          <w:sz w:val="23"/>
          <w:szCs w:val="23"/>
        </w:rPr>
      </w:pPr>
      <w:r w:rsidRPr="003D6B00">
        <w:rPr>
          <w:rFonts w:ascii="Arial" w:hAnsi="Arial" w:cs="Arial"/>
          <w:b/>
          <w:bCs/>
          <w:noProof/>
          <w:color w:val="31849B" w:themeColor="accent5" w:themeShade="BF"/>
          <w:sz w:val="23"/>
          <w:szCs w:val="23"/>
        </w:rPr>
        <w:t>H</w:t>
      </w:r>
    </w:p>
    <w:p w:rsidR="009F4E13"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HOSPITAL GOVERNANCE </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001006A6" w:rsidRPr="003D6B00">
        <w:rPr>
          <w:rFonts w:ascii="Arial" w:hAnsi="Arial" w:cs="Arial"/>
          <w:bCs/>
          <w:noProof/>
          <w:sz w:val="23"/>
          <w:szCs w:val="23"/>
        </w:rPr>
        <w:t>3</w:t>
      </w:r>
    </w:p>
    <w:p w:rsidR="009F4E13" w:rsidRPr="003D6B00" w:rsidRDefault="009F4E13" w:rsidP="00C17FB9">
      <w:pPr>
        <w:rPr>
          <w:rFonts w:ascii="Arial" w:hAnsi="Arial" w:cs="Arial"/>
          <w:b/>
          <w:bCs/>
          <w:noProof/>
          <w:color w:val="31849B" w:themeColor="accent5" w:themeShade="BF"/>
          <w:sz w:val="23"/>
          <w:szCs w:val="23"/>
        </w:rPr>
      </w:pPr>
      <w:r w:rsidRPr="003D6B00">
        <w:rPr>
          <w:rFonts w:ascii="Arial" w:hAnsi="Arial" w:cs="Arial"/>
          <w:b/>
          <w:bCs/>
          <w:noProof/>
          <w:color w:val="31849B" w:themeColor="accent5" w:themeShade="BF"/>
          <w:sz w:val="23"/>
          <w:szCs w:val="23"/>
        </w:rPr>
        <w:t>M</w:t>
      </w:r>
    </w:p>
    <w:p w:rsidR="009F4E13"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MEDICAL ADVISORY COMMITTEE </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001006A6" w:rsidRPr="003D6B00">
        <w:rPr>
          <w:rFonts w:ascii="Arial" w:hAnsi="Arial" w:cs="Arial"/>
          <w:bCs/>
          <w:noProof/>
          <w:sz w:val="23"/>
          <w:szCs w:val="23"/>
        </w:rPr>
        <w:t>3</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MEDICAL RECORDS/PATIENT HEALTH INFORMATION </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001006A6" w:rsidRPr="003D6B00">
        <w:rPr>
          <w:rFonts w:ascii="Arial" w:hAnsi="Arial" w:cs="Arial"/>
          <w:bCs/>
          <w:noProof/>
          <w:sz w:val="23"/>
          <w:szCs w:val="23"/>
        </w:rPr>
        <w:t>7</w:t>
      </w:r>
    </w:p>
    <w:p w:rsidR="009F4E13" w:rsidRPr="003D6B00" w:rsidRDefault="009F4E13" w:rsidP="00C17FB9">
      <w:pPr>
        <w:rPr>
          <w:rFonts w:ascii="Arial" w:hAnsi="Arial" w:cs="Arial"/>
          <w:b/>
          <w:bCs/>
          <w:noProof/>
          <w:color w:val="31849B" w:themeColor="accent5" w:themeShade="BF"/>
          <w:sz w:val="23"/>
          <w:szCs w:val="23"/>
        </w:rPr>
      </w:pPr>
      <w:r w:rsidRPr="003D6B00">
        <w:rPr>
          <w:rFonts w:ascii="Arial" w:hAnsi="Arial" w:cs="Arial"/>
          <w:b/>
          <w:bCs/>
          <w:noProof/>
          <w:color w:val="31849B" w:themeColor="accent5" w:themeShade="BF"/>
          <w:sz w:val="23"/>
          <w:szCs w:val="23"/>
        </w:rPr>
        <w:t>O</w:t>
      </w:r>
    </w:p>
    <w:p w:rsidR="009F4E13" w:rsidRPr="003D6B00" w:rsidRDefault="009F4E13" w:rsidP="00C17FB9">
      <w:pPr>
        <w:rPr>
          <w:rFonts w:ascii="Arial" w:hAnsi="Arial" w:cs="Arial"/>
          <w:bCs/>
          <w:noProof/>
          <w:sz w:val="23"/>
          <w:szCs w:val="23"/>
        </w:rPr>
      </w:pPr>
      <w:r w:rsidRPr="003D6B00">
        <w:rPr>
          <w:rFonts w:ascii="Arial" w:hAnsi="Arial" w:cs="Arial"/>
          <w:bCs/>
          <w:noProof/>
          <w:sz w:val="23"/>
          <w:szCs w:val="23"/>
        </w:rPr>
        <w:t xml:space="preserve">ORGANISATIONAL ISSUES </w:t>
      </w:r>
      <w:r w:rsidR="00754592" w:rsidRPr="003D6B00">
        <w:rPr>
          <w:rFonts w:ascii="Arial" w:hAnsi="Arial" w:cs="Arial"/>
          <w:bCs/>
          <w:noProof/>
          <w:sz w:val="23"/>
          <w:szCs w:val="23"/>
        </w:rPr>
        <w:tab/>
      </w:r>
      <w:r w:rsidR="00754592" w:rsidRPr="003D6B00">
        <w:rPr>
          <w:rFonts w:ascii="Arial" w:hAnsi="Arial" w:cs="Arial"/>
          <w:bCs/>
          <w:noProof/>
          <w:sz w:val="23"/>
          <w:szCs w:val="23"/>
        </w:rPr>
        <w:tab/>
      </w:r>
      <w:r w:rsidR="00754592" w:rsidRPr="003D6B00">
        <w:rPr>
          <w:rFonts w:ascii="Arial" w:hAnsi="Arial" w:cs="Arial"/>
          <w:bCs/>
          <w:noProof/>
          <w:sz w:val="23"/>
          <w:szCs w:val="23"/>
        </w:rPr>
        <w:tab/>
      </w:r>
      <w:r w:rsidR="00754592" w:rsidRPr="003D6B00">
        <w:rPr>
          <w:rFonts w:ascii="Arial" w:hAnsi="Arial" w:cs="Arial"/>
          <w:bCs/>
          <w:noProof/>
          <w:sz w:val="23"/>
          <w:szCs w:val="23"/>
        </w:rPr>
        <w:tab/>
      </w:r>
      <w:r w:rsidR="00754592" w:rsidRPr="003D6B00">
        <w:rPr>
          <w:rFonts w:ascii="Arial" w:hAnsi="Arial" w:cs="Arial"/>
          <w:bCs/>
          <w:noProof/>
          <w:sz w:val="23"/>
          <w:szCs w:val="23"/>
        </w:rPr>
        <w:tab/>
      </w:r>
      <w:r w:rsidR="00754592" w:rsidRPr="003D6B00">
        <w:rPr>
          <w:rFonts w:ascii="Arial" w:hAnsi="Arial" w:cs="Arial"/>
          <w:bCs/>
          <w:noProof/>
          <w:sz w:val="23"/>
          <w:szCs w:val="23"/>
        </w:rPr>
        <w:tab/>
      </w:r>
      <w:r w:rsidR="00754592" w:rsidRPr="003D6B00">
        <w:rPr>
          <w:rFonts w:ascii="Arial" w:hAnsi="Arial" w:cs="Arial"/>
          <w:bCs/>
          <w:noProof/>
          <w:sz w:val="23"/>
          <w:szCs w:val="23"/>
        </w:rPr>
        <w:tab/>
      </w:r>
      <w:r w:rsidR="001006A6" w:rsidRPr="003D6B00">
        <w:rPr>
          <w:rFonts w:ascii="Arial" w:hAnsi="Arial" w:cs="Arial"/>
          <w:bCs/>
          <w:noProof/>
          <w:sz w:val="23"/>
          <w:szCs w:val="23"/>
        </w:rPr>
        <w:t>3</w:t>
      </w:r>
    </w:p>
    <w:p w:rsidR="009F4E13" w:rsidRPr="003D6B00" w:rsidRDefault="009F4E13" w:rsidP="00C17FB9">
      <w:pPr>
        <w:rPr>
          <w:rFonts w:ascii="Arial" w:hAnsi="Arial" w:cs="Arial"/>
          <w:bCs/>
          <w:noProof/>
          <w:sz w:val="23"/>
          <w:szCs w:val="23"/>
        </w:rPr>
      </w:pPr>
      <w:r w:rsidRPr="003D6B00">
        <w:rPr>
          <w:rFonts w:ascii="Arial" w:hAnsi="Arial" w:cs="Arial"/>
          <w:bCs/>
          <w:noProof/>
          <w:sz w:val="23"/>
          <w:szCs w:val="23"/>
        </w:rPr>
        <w:t xml:space="preserve">OBJECTIVES OF BY LAWS OF THE </w:t>
      </w:r>
      <w:r w:rsidR="00444024" w:rsidRPr="003D6B00">
        <w:rPr>
          <w:rFonts w:ascii="Arial" w:hAnsi="Arial" w:cs="Arial"/>
          <w:bCs/>
          <w:noProof/>
          <w:sz w:val="23"/>
          <w:szCs w:val="23"/>
        </w:rPr>
        <w:t>MALVERN</w:t>
      </w:r>
      <w:r w:rsidRPr="003D6B00">
        <w:rPr>
          <w:rFonts w:ascii="Arial" w:hAnsi="Arial" w:cs="Arial"/>
          <w:bCs/>
          <w:noProof/>
          <w:sz w:val="23"/>
          <w:szCs w:val="23"/>
        </w:rPr>
        <w:t xml:space="preserve"> PR</w:t>
      </w:r>
      <w:r w:rsidR="00754592" w:rsidRPr="003D6B00">
        <w:rPr>
          <w:rFonts w:ascii="Arial" w:hAnsi="Arial" w:cs="Arial"/>
          <w:bCs/>
          <w:noProof/>
          <w:sz w:val="23"/>
          <w:szCs w:val="23"/>
        </w:rPr>
        <w:t xml:space="preserve">IVATE HOSPITAL </w:t>
      </w:r>
      <w:r w:rsidR="00754592" w:rsidRPr="003D6B00">
        <w:rPr>
          <w:rFonts w:ascii="Arial" w:hAnsi="Arial" w:cs="Arial"/>
          <w:bCs/>
          <w:noProof/>
          <w:sz w:val="23"/>
          <w:szCs w:val="23"/>
        </w:rPr>
        <w:tab/>
      </w:r>
      <w:r w:rsidR="001006A6" w:rsidRPr="003D6B00">
        <w:rPr>
          <w:rFonts w:ascii="Arial" w:hAnsi="Arial" w:cs="Arial"/>
          <w:bCs/>
          <w:noProof/>
          <w:sz w:val="23"/>
          <w:szCs w:val="23"/>
        </w:rPr>
        <w:t>4</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OPEN DISCLOSURE POLICY </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001006A6" w:rsidRPr="003D6B00">
        <w:rPr>
          <w:rFonts w:ascii="Arial" w:hAnsi="Arial" w:cs="Arial"/>
          <w:bCs/>
          <w:noProof/>
          <w:sz w:val="23"/>
          <w:szCs w:val="23"/>
        </w:rPr>
        <w:t>9</w:t>
      </w:r>
    </w:p>
    <w:p w:rsidR="009F4E13" w:rsidRPr="003D6B00" w:rsidRDefault="009F4E13" w:rsidP="00C17FB9">
      <w:pPr>
        <w:rPr>
          <w:rFonts w:ascii="Arial" w:hAnsi="Arial" w:cs="Arial"/>
          <w:b/>
          <w:bCs/>
          <w:noProof/>
          <w:color w:val="31849B" w:themeColor="accent5" w:themeShade="BF"/>
          <w:sz w:val="23"/>
          <w:szCs w:val="23"/>
        </w:rPr>
      </w:pPr>
      <w:r w:rsidRPr="003D6B00">
        <w:rPr>
          <w:rFonts w:ascii="Arial" w:hAnsi="Arial" w:cs="Arial"/>
          <w:b/>
          <w:bCs/>
          <w:noProof/>
          <w:color w:val="31849B" w:themeColor="accent5" w:themeShade="BF"/>
          <w:sz w:val="23"/>
          <w:szCs w:val="23"/>
        </w:rPr>
        <w:t>P</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PERSONAL COMMUNICATION DEVICES (PCD) </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00AE0509" w:rsidRPr="003D6B00">
        <w:rPr>
          <w:rFonts w:ascii="Arial" w:hAnsi="Arial" w:cs="Arial"/>
          <w:bCs/>
          <w:noProof/>
          <w:sz w:val="23"/>
          <w:szCs w:val="23"/>
        </w:rPr>
        <w:t>9</w:t>
      </w:r>
    </w:p>
    <w:p w:rsidR="009F4E13" w:rsidRPr="003D6B00" w:rsidRDefault="009F4E13" w:rsidP="00C17FB9">
      <w:pPr>
        <w:rPr>
          <w:rFonts w:ascii="Arial" w:hAnsi="Arial" w:cs="Arial"/>
          <w:b/>
          <w:bCs/>
          <w:noProof/>
          <w:color w:val="31849B" w:themeColor="accent5" w:themeShade="BF"/>
          <w:sz w:val="23"/>
          <w:szCs w:val="23"/>
        </w:rPr>
      </w:pPr>
      <w:r w:rsidRPr="003D6B00">
        <w:rPr>
          <w:rFonts w:ascii="Arial" w:hAnsi="Arial" w:cs="Arial"/>
          <w:b/>
          <w:bCs/>
          <w:noProof/>
          <w:color w:val="31849B" w:themeColor="accent5" w:themeShade="BF"/>
          <w:sz w:val="23"/>
          <w:szCs w:val="23"/>
        </w:rPr>
        <w:t>R</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REQUESTING DRUGS, CONSUMABLES, EQUIPMENT AND</w:t>
      </w:r>
      <w:r w:rsidRPr="003D6B00">
        <w:rPr>
          <w:rFonts w:ascii="Arial" w:hAnsi="Arial" w:cs="Arial"/>
          <w:bCs/>
          <w:noProof/>
          <w:sz w:val="23"/>
          <w:szCs w:val="23"/>
        </w:rPr>
        <w:tab/>
      </w:r>
      <w:r w:rsidRPr="003D6B00">
        <w:rPr>
          <w:rFonts w:ascii="Arial" w:hAnsi="Arial" w:cs="Arial"/>
          <w:bCs/>
          <w:noProof/>
          <w:sz w:val="23"/>
          <w:szCs w:val="23"/>
        </w:rPr>
        <w:tab/>
      </w:r>
      <w:r w:rsidR="00AE0509" w:rsidRPr="003D6B00">
        <w:rPr>
          <w:rFonts w:ascii="Arial" w:hAnsi="Arial" w:cs="Arial"/>
          <w:bCs/>
          <w:noProof/>
          <w:sz w:val="23"/>
          <w:szCs w:val="23"/>
        </w:rPr>
        <w:t>9</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OTHER SUPPLIES </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p>
    <w:p w:rsidR="009F4E13" w:rsidRPr="003D6B00" w:rsidRDefault="009F4E13" w:rsidP="00C17FB9">
      <w:pPr>
        <w:rPr>
          <w:rFonts w:ascii="Arial" w:hAnsi="Arial" w:cs="Arial"/>
          <w:b/>
          <w:bCs/>
          <w:noProof/>
          <w:color w:val="31849B" w:themeColor="accent5" w:themeShade="BF"/>
          <w:sz w:val="23"/>
          <w:szCs w:val="23"/>
        </w:rPr>
      </w:pPr>
      <w:r w:rsidRPr="003D6B00">
        <w:rPr>
          <w:rFonts w:ascii="Arial" w:hAnsi="Arial" w:cs="Arial"/>
          <w:b/>
          <w:bCs/>
          <w:noProof/>
          <w:color w:val="31849B" w:themeColor="accent5" w:themeShade="BF"/>
          <w:sz w:val="23"/>
          <w:szCs w:val="23"/>
        </w:rPr>
        <w:t>S</w:t>
      </w:r>
    </w:p>
    <w:p w:rsidR="003D6B00" w:rsidRPr="003D6B00" w:rsidRDefault="003D6B00" w:rsidP="00C17FB9">
      <w:pPr>
        <w:rPr>
          <w:rFonts w:ascii="Arial" w:hAnsi="Arial" w:cs="Arial"/>
          <w:bCs/>
          <w:noProof/>
          <w:sz w:val="23"/>
          <w:szCs w:val="23"/>
        </w:rPr>
      </w:pPr>
      <w:r w:rsidRPr="003D6B00">
        <w:rPr>
          <w:rFonts w:ascii="Arial" w:hAnsi="Arial" w:cs="Arial"/>
          <w:bCs/>
          <w:noProof/>
          <w:sz w:val="23"/>
          <w:szCs w:val="23"/>
        </w:rPr>
        <w:t>SCOPE OF PRACTICE</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t>5</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SPECIFIC DISCLOSURE </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006D3BA4" w:rsidRPr="003D6B00">
        <w:rPr>
          <w:rFonts w:ascii="Arial" w:hAnsi="Arial" w:cs="Arial"/>
          <w:bCs/>
          <w:noProof/>
          <w:sz w:val="23"/>
          <w:szCs w:val="23"/>
        </w:rPr>
        <w:t>8</w:t>
      </w:r>
    </w:p>
    <w:p w:rsidR="001006A6" w:rsidRPr="003D6B00" w:rsidRDefault="001006A6" w:rsidP="00C17FB9">
      <w:pPr>
        <w:rPr>
          <w:rFonts w:ascii="Arial" w:hAnsi="Arial" w:cs="Arial"/>
          <w:bCs/>
          <w:noProof/>
          <w:sz w:val="23"/>
          <w:szCs w:val="23"/>
        </w:rPr>
      </w:pPr>
      <w:r w:rsidRPr="003D6B00">
        <w:rPr>
          <w:rFonts w:ascii="Arial" w:hAnsi="Arial" w:cs="Arial"/>
          <w:bCs/>
          <w:noProof/>
          <w:sz w:val="23"/>
          <w:szCs w:val="23"/>
        </w:rPr>
        <w:t xml:space="preserve">STRUCTURE OF THE MEDICAL ADVISORY COMMITTEE </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t>4</w:t>
      </w:r>
    </w:p>
    <w:p w:rsidR="009F4E13" w:rsidRPr="003D6B00" w:rsidRDefault="009F4E13" w:rsidP="00C17FB9">
      <w:pPr>
        <w:rPr>
          <w:rFonts w:ascii="Arial" w:hAnsi="Arial" w:cs="Arial"/>
          <w:b/>
          <w:bCs/>
          <w:noProof/>
          <w:color w:val="31849B" w:themeColor="accent5" w:themeShade="BF"/>
          <w:sz w:val="23"/>
          <w:szCs w:val="23"/>
        </w:rPr>
      </w:pPr>
      <w:r w:rsidRPr="003D6B00">
        <w:rPr>
          <w:rFonts w:ascii="Arial" w:hAnsi="Arial" w:cs="Arial"/>
          <w:b/>
          <w:bCs/>
          <w:noProof/>
          <w:color w:val="31849B" w:themeColor="accent5" w:themeShade="BF"/>
          <w:sz w:val="23"/>
          <w:szCs w:val="23"/>
        </w:rPr>
        <w:t>T</w:t>
      </w:r>
    </w:p>
    <w:p w:rsidR="009F4E13" w:rsidRPr="003D6B00" w:rsidRDefault="009F4E13" w:rsidP="00C17FB9">
      <w:pPr>
        <w:rPr>
          <w:rFonts w:ascii="Arial" w:hAnsi="Arial" w:cs="Arial"/>
          <w:bCs/>
          <w:noProof/>
          <w:sz w:val="23"/>
          <w:szCs w:val="23"/>
        </w:rPr>
      </w:pPr>
      <w:r w:rsidRPr="003D6B00">
        <w:rPr>
          <w:rFonts w:ascii="Arial" w:hAnsi="Arial" w:cs="Arial"/>
          <w:bCs/>
          <w:noProof/>
          <w:sz w:val="23"/>
          <w:szCs w:val="23"/>
        </w:rPr>
        <w:t xml:space="preserve">THE </w:t>
      </w:r>
      <w:r w:rsidR="00444024" w:rsidRPr="003D6B00">
        <w:rPr>
          <w:rFonts w:ascii="Arial" w:hAnsi="Arial" w:cs="Arial"/>
          <w:bCs/>
          <w:noProof/>
          <w:sz w:val="23"/>
          <w:szCs w:val="23"/>
        </w:rPr>
        <w:t>MALVERN</w:t>
      </w:r>
      <w:r w:rsidRPr="003D6B00">
        <w:rPr>
          <w:rFonts w:ascii="Arial" w:hAnsi="Arial" w:cs="Arial"/>
          <w:bCs/>
          <w:noProof/>
          <w:sz w:val="23"/>
          <w:szCs w:val="23"/>
        </w:rPr>
        <w:t xml:space="preserve"> PRIVATE HOSPITAL </w:t>
      </w:r>
      <w:r w:rsidR="00754592" w:rsidRPr="003D6B00">
        <w:rPr>
          <w:rFonts w:ascii="Arial" w:hAnsi="Arial" w:cs="Arial"/>
          <w:bCs/>
          <w:noProof/>
          <w:sz w:val="23"/>
          <w:szCs w:val="23"/>
        </w:rPr>
        <w:tab/>
      </w:r>
      <w:r w:rsidR="00754592" w:rsidRPr="003D6B00">
        <w:rPr>
          <w:rFonts w:ascii="Arial" w:hAnsi="Arial" w:cs="Arial"/>
          <w:bCs/>
          <w:noProof/>
          <w:sz w:val="23"/>
          <w:szCs w:val="23"/>
        </w:rPr>
        <w:tab/>
      </w:r>
      <w:r w:rsidR="00754592" w:rsidRPr="003D6B00">
        <w:rPr>
          <w:rFonts w:ascii="Arial" w:hAnsi="Arial" w:cs="Arial"/>
          <w:bCs/>
          <w:noProof/>
          <w:sz w:val="23"/>
          <w:szCs w:val="23"/>
        </w:rPr>
        <w:tab/>
      </w:r>
      <w:r w:rsidR="00754592" w:rsidRPr="003D6B00">
        <w:rPr>
          <w:rFonts w:ascii="Arial" w:hAnsi="Arial" w:cs="Arial"/>
          <w:bCs/>
          <w:noProof/>
          <w:sz w:val="23"/>
          <w:szCs w:val="23"/>
        </w:rPr>
        <w:tab/>
      </w:r>
      <w:r w:rsidR="00754592" w:rsidRPr="003D6B00">
        <w:rPr>
          <w:rFonts w:ascii="Arial" w:hAnsi="Arial" w:cs="Arial"/>
          <w:bCs/>
          <w:noProof/>
          <w:sz w:val="23"/>
          <w:szCs w:val="23"/>
        </w:rPr>
        <w:tab/>
      </w:r>
      <w:r w:rsidR="00754592" w:rsidRPr="003D6B00">
        <w:rPr>
          <w:rFonts w:ascii="Arial" w:hAnsi="Arial" w:cs="Arial"/>
          <w:bCs/>
          <w:noProof/>
          <w:sz w:val="23"/>
          <w:szCs w:val="23"/>
        </w:rPr>
        <w:tab/>
      </w:r>
      <w:r w:rsidR="001006A6" w:rsidRPr="003D6B00">
        <w:rPr>
          <w:rFonts w:ascii="Arial" w:hAnsi="Arial" w:cs="Arial"/>
          <w:bCs/>
          <w:noProof/>
          <w:sz w:val="23"/>
          <w:szCs w:val="23"/>
        </w:rPr>
        <w:t>3</w:t>
      </w:r>
    </w:p>
    <w:p w:rsidR="009F4E13" w:rsidRPr="003D6B00" w:rsidRDefault="005F50E8" w:rsidP="00C17FB9">
      <w:pPr>
        <w:rPr>
          <w:rFonts w:ascii="Arial" w:hAnsi="Arial" w:cs="Arial"/>
          <w:bCs/>
          <w:noProof/>
          <w:sz w:val="23"/>
          <w:szCs w:val="23"/>
        </w:rPr>
      </w:pPr>
      <w:r w:rsidRPr="003D6B00">
        <w:rPr>
          <w:rFonts w:ascii="Arial" w:hAnsi="Arial" w:cs="Arial"/>
          <w:bCs/>
          <w:noProof/>
          <w:sz w:val="23"/>
          <w:szCs w:val="23"/>
        </w:rPr>
        <w:t>TEMPORARY CREDENTIALING</w:t>
      </w:r>
      <w:r w:rsidR="00754592" w:rsidRPr="003D6B00">
        <w:rPr>
          <w:rFonts w:ascii="Arial" w:hAnsi="Arial" w:cs="Arial"/>
          <w:bCs/>
          <w:noProof/>
          <w:sz w:val="23"/>
          <w:szCs w:val="23"/>
        </w:rPr>
        <w:tab/>
      </w:r>
      <w:r w:rsidR="00754592" w:rsidRPr="003D6B00">
        <w:rPr>
          <w:rFonts w:ascii="Arial" w:hAnsi="Arial" w:cs="Arial"/>
          <w:bCs/>
          <w:noProof/>
          <w:sz w:val="23"/>
          <w:szCs w:val="23"/>
        </w:rPr>
        <w:tab/>
      </w:r>
      <w:r w:rsidR="00754592" w:rsidRPr="003D6B00">
        <w:rPr>
          <w:rFonts w:ascii="Arial" w:hAnsi="Arial" w:cs="Arial"/>
          <w:bCs/>
          <w:noProof/>
          <w:sz w:val="23"/>
          <w:szCs w:val="23"/>
        </w:rPr>
        <w:tab/>
      </w:r>
      <w:r w:rsidR="00754592" w:rsidRPr="003D6B00">
        <w:rPr>
          <w:rFonts w:ascii="Arial" w:hAnsi="Arial" w:cs="Arial"/>
          <w:bCs/>
          <w:noProof/>
          <w:sz w:val="23"/>
          <w:szCs w:val="23"/>
        </w:rPr>
        <w:tab/>
      </w:r>
      <w:r w:rsidR="00754592" w:rsidRPr="003D6B00">
        <w:rPr>
          <w:rFonts w:ascii="Arial" w:hAnsi="Arial" w:cs="Arial"/>
          <w:bCs/>
          <w:noProof/>
          <w:sz w:val="23"/>
          <w:szCs w:val="23"/>
        </w:rPr>
        <w:tab/>
      </w:r>
      <w:r w:rsidR="00754592" w:rsidRPr="003D6B00">
        <w:rPr>
          <w:rFonts w:ascii="Arial" w:hAnsi="Arial" w:cs="Arial"/>
          <w:bCs/>
          <w:noProof/>
          <w:sz w:val="23"/>
          <w:szCs w:val="23"/>
        </w:rPr>
        <w:tab/>
      </w:r>
      <w:r w:rsidR="00B91BE5" w:rsidRPr="003D6B00">
        <w:rPr>
          <w:rFonts w:ascii="Arial" w:hAnsi="Arial" w:cs="Arial"/>
          <w:bCs/>
          <w:noProof/>
          <w:sz w:val="23"/>
          <w:szCs w:val="23"/>
        </w:rPr>
        <w:t xml:space="preserve">           </w:t>
      </w:r>
      <w:r w:rsidR="001006A6" w:rsidRPr="003D6B00">
        <w:rPr>
          <w:rFonts w:ascii="Arial" w:hAnsi="Arial" w:cs="Arial"/>
          <w:bCs/>
          <w:noProof/>
          <w:sz w:val="23"/>
          <w:szCs w:val="23"/>
        </w:rPr>
        <w:t>5</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TERMINATION OF APPOINTMENT </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001006A6" w:rsidRPr="003D6B00">
        <w:rPr>
          <w:rFonts w:ascii="Arial" w:hAnsi="Arial" w:cs="Arial"/>
          <w:bCs/>
          <w:noProof/>
          <w:sz w:val="23"/>
          <w:szCs w:val="23"/>
        </w:rPr>
        <w:t>5</w:t>
      </w:r>
    </w:p>
    <w:p w:rsidR="009F4E13" w:rsidRPr="003D6B00" w:rsidRDefault="009F4E13" w:rsidP="00C17FB9">
      <w:pPr>
        <w:rPr>
          <w:rFonts w:ascii="Arial" w:hAnsi="Arial" w:cs="Arial"/>
          <w:b/>
          <w:bCs/>
          <w:noProof/>
          <w:color w:val="31849B" w:themeColor="accent5" w:themeShade="BF"/>
          <w:sz w:val="23"/>
          <w:szCs w:val="23"/>
        </w:rPr>
      </w:pPr>
      <w:r w:rsidRPr="003D6B00">
        <w:rPr>
          <w:rFonts w:ascii="Arial" w:hAnsi="Arial" w:cs="Arial"/>
          <w:b/>
          <w:bCs/>
          <w:noProof/>
          <w:color w:val="31849B" w:themeColor="accent5" w:themeShade="BF"/>
          <w:sz w:val="23"/>
          <w:szCs w:val="23"/>
        </w:rPr>
        <w:t>U</w:t>
      </w:r>
    </w:p>
    <w:p w:rsidR="009F4E13" w:rsidRPr="003D6B00" w:rsidRDefault="009F4E13" w:rsidP="00C17FB9">
      <w:pPr>
        <w:rPr>
          <w:rFonts w:ascii="Arial" w:hAnsi="Arial" w:cs="Arial"/>
          <w:bCs/>
          <w:noProof/>
          <w:sz w:val="23"/>
          <w:szCs w:val="23"/>
        </w:rPr>
      </w:pPr>
      <w:r w:rsidRPr="003D6B00">
        <w:rPr>
          <w:rFonts w:ascii="Arial" w:hAnsi="Arial" w:cs="Arial"/>
          <w:bCs/>
          <w:noProof/>
          <w:sz w:val="23"/>
          <w:szCs w:val="23"/>
        </w:rPr>
        <w:t xml:space="preserve">USE </w:t>
      </w:r>
      <w:r w:rsidR="00754592" w:rsidRPr="003D6B00">
        <w:rPr>
          <w:rFonts w:ascii="Arial" w:hAnsi="Arial" w:cs="Arial"/>
          <w:bCs/>
          <w:noProof/>
          <w:sz w:val="23"/>
          <w:szCs w:val="23"/>
        </w:rPr>
        <w:t>OF HO</w:t>
      </w:r>
      <w:r w:rsidR="001006A6" w:rsidRPr="003D6B00">
        <w:rPr>
          <w:rFonts w:ascii="Arial" w:hAnsi="Arial" w:cs="Arial"/>
          <w:bCs/>
          <w:noProof/>
          <w:sz w:val="23"/>
          <w:szCs w:val="23"/>
        </w:rPr>
        <w:t xml:space="preserve">SPITAL INITIAL CREDNTIALS </w:t>
      </w:r>
      <w:r w:rsidR="001006A6" w:rsidRPr="003D6B00">
        <w:rPr>
          <w:rFonts w:ascii="Arial" w:hAnsi="Arial" w:cs="Arial"/>
          <w:bCs/>
          <w:noProof/>
          <w:sz w:val="23"/>
          <w:szCs w:val="23"/>
        </w:rPr>
        <w:tab/>
      </w:r>
      <w:r w:rsidR="001006A6" w:rsidRPr="003D6B00">
        <w:rPr>
          <w:rFonts w:ascii="Arial" w:hAnsi="Arial" w:cs="Arial"/>
          <w:bCs/>
          <w:noProof/>
          <w:sz w:val="23"/>
          <w:szCs w:val="23"/>
        </w:rPr>
        <w:tab/>
      </w:r>
      <w:r w:rsidR="001006A6" w:rsidRPr="003D6B00">
        <w:rPr>
          <w:rFonts w:ascii="Arial" w:hAnsi="Arial" w:cs="Arial"/>
          <w:bCs/>
          <w:noProof/>
          <w:sz w:val="23"/>
          <w:szCs w:val="23"/>
        </w:rPr>
        <w:tab/>
      </w:r>
      <w:r w:rsidR="001006A6" w:rsidRPr="003D6B00">
        <w:rPr>
          <w:rFonts w:ascii="Arial" w:hAnsi="Arial" w:cs="Arial"/>
          <w:bCs/>
          <w:noProof/>
          <w:sz w:val="23"/>
          <w:szCs w:val="23"/>
        </w:rPr>
        <w:tab/>
      </w:r>
      <w:r w:rsidR="001006A6" w:rsidRPr="003D6B00">
        <w:rPr>
          <w:rFonts w:ascii="Arial" w:hAnsi="Arial" w:cs="Arial"/>
          <w:bCs/>
          <w:noProof/>
          <w:sz w:val="23"/>
          <w:szCs w:val="23"/>
        </w:rPr>
        <w:tab/>
        <w:t>4</w:t>
      </w:r>
    </w:p>
    <w:p w:rsidR="009F4E13" w:rsidRPr="003D6B00" w:rsidRDefault="009F4E13" w:rsidP="00C17FB9">
      <w:pPr>
        <w:rPr>
          <w:rFonts w:ascii="Arial" w:hAnsi="Arial" w:cs="Arial"/>
          <w:b/>
          <w:bCs/>
          <w:noProof/>
          <w:color w:val="31849B" w:themeColor="accent5" w:themeShade="BF"/>
          <w:sz w:val="23"/>
          <w:szCs w:val="23"/>
        </w:rPr>
      </w:pPr>
      <w:r w:rsidRPr="003D6B00">
        <w:rPr>
          <w:rFonts w:ascii="Arial" w:hAnsi="Arial" w:cs="Arial"/>
          <w:b/>
          <w:bCs/>
          <w:noProof/>
          <w:color w:val="31849B" w:themeColor="accent5" w:themeShade="BF"/>
          <w:sz w:val="23"/>
          <w:szCs w:val="23"/>
        </w:rPr>
        <w:t>V</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VP CLINICAL RESPONSIBILITIES </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001006A6" w:rsidRPr="003D6B00">
        <w:rPr>
          <w:rFonts w:ascii="Arial" w:hAnsi="Arial" w:cs="Arial"/>
          <w:bCs/>
          <w:noProof/>
          <w:sz w:val="23"/>
          <w:szCs w:val="23"/>
        </w:rPr>
        <w:t>6</w:t>
      </w:r>
    </w:p>
    <w:p w:rsidR="00754592" w:rsidRPr="003D6B00" w:rsidRDefault="001006A6" w:rsidP="00C17FB9">
      <w:pPr>
        <w:rPr>
          <w:rFonts w:ascii="Arial" w:hAnsi="Arial" w:cs="Arial"/>
          <w:bCs/>
          <w:noProof/>
          <w:sz w:val="23"/>
          <w:szCs w:val="23"/>
        </w:rPr>
      </w:pPr>
      <w:r w:rsidRPr="003D6B00">
        <w:rPr>
          <w:rFonts w:ascii="Arial" w:hAnsi="Arial" w:cs="Arial"/>
          <w:bCs/>
          <w:noProof/>
          <w:sz w:val="23"/>
          <w:szCs w:val="23"/>
        </w:rPr>
        <w:t xml:space="preserve">VP HOSPITAL ASSISTANCE </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t>7</w:t>
      </w:r>
    </w:p>
    <w:p w:rsidR="00754592" w:rsidRPr="003D6B00" w:rsidRDefault="00754592" w:rsidP="00C17FB9">
      <w:pPr>
        <w:rPr>
          <w:rFonts w:ascii="Arial" w:hAnsi="Arial" w:cs="Arial"/>
          <w:bCs/>
          <w:noProof/>
          <w:sz w:val="23"/>
          <w:szCs w:val="23"/>
        </w:rPr>
      </w:pPr>
      <w:r w:rsidRPr="003D6B00">
        <w:rPr>
          <w:rFonts w:ascii="Arial" w:hAnsi="Arial" w:cs="Arial"/>
          <w:bCs/>
          <w:noProof/>
          <w:sz w:val="23"/>
          <w:szCs w:val="23"/>
        </w:rPr>
        <w:t xml:space="preserve">VALID CONSENT </w:t>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Pr="003D6B00">
        <w:rPr>
          <w:rFonts w:ascii="Arial" w:hAnsi="Arial" w:cs="Arial"/>
          <w:bCs/>
          <w:noProof/>
          <w:sz w:val="23"/>
          <w:szCs w:val="23"/>
        </w:rPr>
        <w:tab/>
      </w:r>
      <w:r w:rsidR="001006A6" w:rsidRPr="003D6B00">
        <w:rPr>
          <w:rFonts w:ascii="Arial" w:hAnsi="Arial" w:cs="Arial"/>
          <w:bCs/>
          <w:noProof/>
          <w:sz w:val="23"/>
          <w:szCs w:val="23"/>
        </w:rPr>
        <w:t>8</w:t>
      </w:r>
    </w:p>
    <w:p w:rsidR="00C17FB9" w:rsidRPr="00C17FB9" w:rsidRDefault="00C17FB9">
      <w:pPr>
        <w:rPr>
          <w:rFonts w:ascii="Arial Black" w:hAnsi="Arial Black" w:cs="Arial"/>
          <w:b/>
          <w:bCs/>
          <w:sz w:val="24"/>
          <w:szCs w:val="24"/>
        </w:rPr>
      </w:pPr>
    </w:p>
    <w:p w:rsidR="00C17FB9" w:rsidRPr="00C17FB9" w:rsidRDefault="00C17FB9">
      <w:pPr>
        <w:rPr>
          <w:rFonts w:ascii="Arial Black" w:hAnsi="Arial Black" w:cs="Arial"/>
          <w:b/>
          <w:bCs/>
          <w:sz w:val="24"/>
          <w:szCs w:val="24"/>
        </w:rPr>
      </w:pPr>
    </w:p>
    <w:p w:rsidR="00C17FB9" w:rsidRPr="00C17FB9" w:rsidRDefault="00C17FB9">
      <w:pPr>
        <w:rPr>
          <w:rFonts w:ascii="Arial Black" w:hAnsi="Arial Black" w:cs="Arial"/>
          <w:b/>
          <w:bCs/>
          <w:sz w:val="24"/>
          <w:szCs w:val="24"/>
        </w:rPr>
      </w:pPr>
    </w:p>
    <w:p w:rsidR="00D30342" w:rsidRPr="00532975" w:rsidRDefault="00D30342" w:rsidP="00D30342">
      <w:pPr>
        <w:rPr>
          <w:rFonts w:ascii="Arial" w:hAnsi="Arial" w:cs="Arial"/>
          <w:b/>
          <w:sz w:val="20"/>
          <w:szCs w:val="20"/>
          <w:u w:val="single"/>
        </w:rPr>
      </w:pPr>
      <w:r w:rsidRPr="00532975">
        <w:rPr>
          <w:rFonts w:ascii="Arial" w:hAnsi="Arial" w:cs="Arial"/>
          <w:b/>
          <w:sz w:val="20"/>
          <w:szCs w:val="20"/>
          <w:u w:val="single"/>
        </w:rPr>
        <w:t xml:space="preserve">THE </w:t>
      </w:r>
      <w:r w:rsidR="00444024">
        <w:rPr>
          <w:rFonts w:ascii="Arial" w:hAnsi="Arial" w:cs="Arial"/>
          <w:b/>
          <w:sz w:val="20"/>
          <w:szCs w:val="20"/>
          <w:u w:val="single"/>
        </w:rPr>
        <w:t>MALVERN</w:t>
      </w:r>
      <w:r w:rsidRPr="00532975">
        <w:rPr>
          <w:rFonts w:ascii="Arial" w:hAnsi="Arial" w:cs="Arial"/>
          <w:b/>
          <w:sz w:val="20"/>
          <w:szCs w:val="20"/>
          <w:u w:val="single"/>
        </w:rPr>
        <w:t xml:space="preserve"> PRIVATE HOSPITAL</w:t>
      </w:r>
    </w:p>
    <w:p w:rsidR="00D30342" w:rsidRPr="00532975" w:rsidRDefault="00D30342" w:rsidP="00D30342">
      <w:pPr>
        <w:pStyle w:val="Header"/>
        <w:rPr>
          <w:rFonts w:cs="Arial"/>
          <w:sz w:val="20"/>
          <w:szCs w:val="20"/>
        </w:rPr>
      </w:pPr>
      <w:r w:rsidRPr="00532975">
        <w:rPr>
          <w:rFonts w:cs="Arial"/>
          <w:sz w:val="20"/>
          <w:szCs w:val="20"/>
        </w:rPr>
        <w:t xml:space="preserve">The </w:t>
      </w:r>
      <w:r w:rsidR="00444024">
        <w:rPr>
          <w:rFonts w:cs="Arial"/>
          <w:sz w:val="20"/>
          <w:szCs w:val="20"/>
        </w:rPr>
        <w:t>Malvern</w:t>
      </w:r>
      <w:r w:rsidRPr="00532975">
        <w:rPr>
          <w:rFonts w:cs="Arial"/>
          <w:sz w:val="20"/>
          <w:szCs w:val="20"/>
        </w:rPr>
        <w:t xml:space="preserve"> Private Hospital is a fully accredited </w:t>
      </w:r>
      <w:r w:rsidR="00444024">
        <w:rPr>
          <w:rFonts w:cs="Arial"/>
          <w:sz w:val="20"/>
          <w:szCs w:val="20"/>
        </w:rPr>
        <w:t>Drug and Alcohol</w:t>
      </w:r>
      <w:r w:rsidRPr="00532975">
        <w:rPr>
          <w:rFonts w:cs="Arial"/>
          <w:sz w:val="20"/>
          <w:szCs w:val="20"/>
        </w:rPr>
        <w:t xml:space="preserve"> Rehabi</w:t>
      </w:r>
      <w:r w:rsidR="009C29E9">
        <w:rPr>
          <w:rFonts w:cs="Arial"/>
          <w:sz w:val="20"/>
          <w:szCs w:val="20"/>
        </w:rPr>
        <w:t xml:space="preserve">litation Private Hospital.  </w:t>
      </w:r>
      <w:r w:rsidR="00444024">
        <w:rPr>
          <w:rFonts w:cs="Arial"/>
          <w:sz w:val="20"/>
          <w:szCs w:val="20"/>
        </w:rPr>
        <w:t>Malvern</w:t>
      </w:r>
      <w:r w:rsidRPr="00532975">
        <w:rPr>
          <w:rFonts w:cs="Arial"/>
          <w:sz w:val="20"/>
          <w:szCs w:val="20"/>
        </w:rPr>
        <w:t xml:space="preserve"> Priv</w:t>
      </w:r>
      <w:r w:rsidR="0089132B">
        <w:rPr>
          <w:rFonts w:cs="Arial"/>
          <w:sz w:val="20"/>
          <w:szCs w:val="20"/>
        </w:rPr>
        <w:t>ate Hospital</w:t>
      </w:r>
      <w:r w:rsidR="009C29E9">
        <w:rPr>
          <w:rFonts w:cs="Arial"/>
          <w:sz w:val="20"/>
          <w:szCs w:val="20"/>
        </w:rPr>
        <w:t xml:space="preserve"> (MPH)</w:t>
      </w:r>
      <w:r w:rsidR="0089132B">
        <w:rPr>
          <w:rFonts w:cs="Arial"/>
          <w:sz w:val="20"/>
          <w:szCs w:val="20"/>
        </w:rPr>
        <w:t xml:space="preserve"> is part of </w:t>
      </w:r>
      <w:r w:rsidR="009C29E9">
        <w:rPr>
          <w:rFonts w:cs="Arial"/>
          <w:sz w:val="20"/>
          <w:szCs w:val="20"/>
        </w:rPr>
        <w:t xml:space="preserve">Macquarie Health </w:t>
      </w:r>
      <w:r w:rsidR="009965BF">
        <w:rPr>
          <w:rFonts w:cs="Arial"/>
          <w:sz w:val="20"/>
          <w:szCs w:val="20"/>
        </w:rPr>
        <w:t>Group (MHG).</w:t>
      </w:r>
    </w:p>
    <w:p w:rsidR="00D30342" w:rsidRPr="00532975" w:rsidRDefault="00D30342" w:rsidP="00D30342">
      <w:pPr>
        <w:pStyle w:val="Header"/>
        <w:ind w:right="-1"/>
        <w:rPr>
          <w:rFonts w:cs="Arial"/>
          <w:sz w:val="20"/>
          <w:szCs w:val="20"/>
        </w:rPr>
      </w:pPr>
    </w:p>
    <w:p w:rsidR="00D30342" w:rsidRPr="00532975" w:rsidRDefault="00D30342" w:rsidP="00D30342">
      <w:pPr>
        <w:pStyle w:val="Header"/>
        <w:rPr>
          <w:rFonts w:cs="Arial"/>
          <w:b/>
          <w:sz w:val="20"/>
          <w:szCs w:val="20"/>
          <w:u w:val="single"/>
        </w:rPr>
      </w:pPr>
      <w:r w:rsidRPr="00532975">
        <w:rPr>
          <w:rFonts w:cs="Arial"/>
          <w:b/>
          <w:sz w:val="20"/>
          <w:szCs w:val="20"/>
          <w:u w:val="single"/>
        </w:rPr>
        <w:t>HOSPITAL GOVERNANCE</w:t>
      </w:r>
    </w:p>
    <w:p w:rsidR="00D30342" w:rsidRPr="00532975" w:rsidRDefault="009965BF" w:rsidP="00D30342">
      <w:pPr>
        <w:pStyle w:val="Header"/>
        <w:rPr>
          <w:rFonts w:cs="Arial"/>
          <w:sz w:val="20"/>
          <w:szCs w:val="20"/>
        </w:rPr>
      </w:pPr>
      <w:r>
        <w:rPr>
          <w:rFonts w:cs="Arial"/>
          <w:sz w:val="20"/>
          <w:szCs w:val="20"/>
        </w:rPr>
        <w:t xml:space="preserve">MHG Board delegates day-to-day needs to the </w:t>
      </w:r>
      <w:proofErr w:type="gramStart"/>
      <w:r>
        <w:rPr>
          <w:rFonts w:cs="Arial"/>
          <w:sz w:val="20"/>
          <w:szCs w:val="20"/>
        </w:rPr>
        <w:t>Senior</w:t>
      </w:r>
      <w:proofErr w:type="gramEnd"/>
      <w:r>
        <w:rPr>
          <w:rFonts w:cs="Arial"/>
          <w:sz w:val="20"/>
          <w:szCs w:val="20"/>
        </w:rPr>
        <w:t xml:space="preserve"> manager Meeting and this is actioned by the MPH leadership team.  The Hospital Director, Inpatient Services Manager, Therapy Manager and Administration Supervisor make up the leadership team of Malvern Private Hospital.</w:t>
      </w:r>
    </w:p>
    <w:p w:rsidR="00D30342" w:rsidRPr="00532975" w:rsidRDefault="00D30342" w:rsidP="00D30342">
      <w:pPr>
        <w:pStyle w:val="Header"/>
        <w:spacing w:before="120"/>
        <w:rPr>
          <w:rFonts w:cs="Arial"/>
          <w:b/>
          <w:sz w:val="20"/>
          <w:szCs w:val="20"/>
        </w:rPr>
      </w:pPr>
      <w:r w:rsidRPr="00532975">
        <w:rPr>
          <w:rFonts w:cs="Arial"/>
          <w:b/>
          <w:sz w:val="20"/>
          <w:szCs w:val="20"/>
          <w:u w:val="single"/>
        </w:rPr>
        <w:t>GOVERNANCE ISSUES</w:t>
      </w:r>
      <w:r w:rsidRPr="00532975">
        <w:rPr>
          <w:rFonts w:cs="Arial"/>
          <w:b/>
          <w:sz w:val="20"/>
          <w:szCs w:val="20"/>
        </w:rPr>
        <w:t>:</w:t>
      </w:r>
    </w:p>
    <w:p w:rsidR="00D30342" w:rsidRPr="00532975" w:rsidRDefault="00D30342" w:rsidP="00D30342">
      <w:pPr>
        <w:pStyle w:val="Header"/>
        <w:rPr>
          <w:rFonts w:cs="Arial"/>
          <w:sz w:val="20"/>
          <w:szCs w:val="20"/>
        </w:rPr>
      </w:pPr>
      <w:r w:rsidRPr="00532975">
        <w:rPr>
          <w:rFonts w:cs="Arial"/>
          <w:sz w:val="20"/>
          <w:szCs w:val="20"/>
        </w:rPr>
        <w:t>The governing body should ensure:-</w:t>
      </w:r>
    </w:p>
    <w:p w:rsidR="00D30342" w:rsidRPr="00532975" w:rsidRDefault="00D30342" w:rsidP="00D30342">
      <w:pPr>
        <w:pStyle w:val="Header"/>
        <w:numPr>
          <w:ilvl w:val="0"/>
          <w:numId w:val="1"/>
        </w:numPr>
        <w:tabs>
          <w:tab w:val="clear" w:pos="502"/>
          <w:tab w:val="clear" w:pos="4153"/>
          <w:tab w:val="clear" w:pos="8306"/>
          <w:tab w:val="num" w:pos="426"/>
          <w:tab w:val="num" w:pos="644"/>
        </w:tabs>
        <w:ind w:right="-1"/>
        <w:rPr>
          <w:rFonts w:cs="Arial"/>
          <w:sz w:val="20"/>
          <w:szCs w:val="20"/>
        </w:rPr>
      </w:pPr>
      <w:r w:rsidRPr="00532975">
        <w:rPr>
          <w:rFonts w:cs="Arial"/>
          <w:sz w:val="20"/>
          <w:szCs w:val="20"/>
        </w:rPr>
        <w:t>Strong leadership in safety and quality;</w:t>
      </w:r>
    </w:p>
    <w:p w:rsidR="00D30342" w:rsidRPr="00532975" w:rsidRDefault="00D30342" w:rsidP="00D30342">
      <w:pPr>
        <w:pStyle w:val="Header"/>
        <w:numPr>
          <w:ilvl w:val="0"/>
          <w:numId w:val="1"/>
        </w:numPr>
        <w:tabs>
          <w:tab w:val="clear" w:pos="502"/>
          <w:tab w:val="clear" w:pos="4153"/>
          <w:tab w:val="clear" w:pos="8306"/>
          <w:tab w:val="num" w:pos="426"/>
          <w:tab w:val="num" w:pos="644"/>
        </w:tabs>
        <w:ind w:right="-1"/>
        <w:rPr>
          <w:rFonts w:cs="Arial"/>
          <w:sz w:val="20"/>
          <w:szCs w:val="20"/>
        </w:rPr>
      </w:pPr>
      <w:r w:rsidRPr="00532975">
        <w:rPr>
          <w:rFonts w:cs="Arial"/>
          <w:sz w:val="20"/>
          <w:szCs w:val="20"/>
        </w:rPr>
        <w:t>Comprehensive governance systems;</w:t>
      </w:r>
    </w:p>
    <w:p w:rsidR="00D30342" w:rsidRPr="00532975" w:rsidRDefault="00D30342" w:rsidP="00D30342">
      <w:pPr>
        <w:pStyle w:val="Header"/>
        <w:numPr>
          <w:ilvl w:val="0"/>
          <w:numId w:val="1"/>
        </w:numPr>
        <w:tabs>
          <w:tab w:val="clear" w:pos="502"/>
          <w:tab w:val="clear" w:pos="4153"/>
          <w:tab w:val="clear" w:pos="8306"/>
          <w:tab w:val="num" w:pos="426"/>
          <w:tab w:val="num" w:pos="644"/>
        </w:tabs>
        <w:ind w:right="-1"/>
        <w:rPr>
          <w:rFonts w:cs="Arial"/>
          <w:sz w:val="20"/>
          <w:szCs w:val="20"/>
        </w:rPr>
      </w:pPr>
      <w:r w:rsidRPr="00532975">
        <w:rPr>
          <w:rFonts w:cs="Arial"/>
          <w:sz w:val="20"/>
          <w:szCs w:val="20"/>
        </w:rPr>
        <w:t>Clearly defined delegated authority;</w:t>
      </w:r>
    </w:p>
    <w:p w:rsidR="00D30342" w:rsidRPr="00532975" w:rsidRDefault="00D30342" w:rsidP="00D30342">
      <w:pPr>
        <w:pStyle w:val="Header"/>
        <w:numPr>
          <w:ilvl w:val="0"/>
          <w:numId w:val="1"/>
        </w:numPr>
        <w:tabs>
          <w:tab w:val="clear" w:pos="502"/>
          <w:tab w:val="clear" w:pos="4153"/>
          <w:tab w:val="clear" w:pos="8306"/>
          <w:tab w:val="num" w:pos="426"/>
          <w:tab w:val="num" w:pos="644"/>
        </w:tabs>
        <w:ind w:right="-1"/>
        <w:rPr>
          <w:rFonts w:cs="Arial"/>
          <w:sz w:val="20"/>
          <w:szCs w:val="20"/>
        </w:rPr>
      </w:pPr>
      <w:r w:rsidRPr="00532975">
        <w:rPr>
          <w:rFonts w:cs="Arial"/>
          <w:sz w:val="20"/>
          <w:szCs w:val="20"/>
        </w:rPr>
        <w:t>Independence of processes;</w:t>
      </w:r>
    </w:p>
    <w:p w:rsidR="00D30342" w:rsidRPr="00532975" w:rsidRDefault="00D30342" w:rsidP="00D30342">
      <w:pPr>
        <w:pStyle w:val="Header"/>
        <w:numPr>
          <w:ilvl w:val="0"/>
          <w:numId w:val="1"/>
        </w:numPr>
        <w:tabs>
          <w:tab w:val="clear" w:pos="502"/>
          <w:tab w:val="clear" w:pos="4153"/>
          <w:tab w:val="clear" w:pos="8306"/>
          <w:tab w:val="num" w:pos="426"/>
          <w:tab w:val="num" w:pos="644"/>
        </w:tabs>
        <w:ind w:right="-1"/>
        <w:rPr>
          <w:rFonts w:cs="Arial"/>
          <w:sz w:val="20"/>
          <w:szCs w:val="20"/>
        </w:rPr>
      </w:pPr>
      <w:r w:rsidRPr="00532975">
        <w:rPr>
          <w:rFonts w:cs="Arial"/>
          <w:sz w:val="20"/>
          <w:szCs w:val="20"/>
        </w:rPr>
        <w:t>Systematic reports on performance;</w:t>
      </w:r>
    </w:p>
    <w:p w:rsidR="00D30342" w:rsidRPr="00532975" w:rsidRDefault="00D30342" w:rsidP="00D30342">
      <w:pPr>
        <w:pStyle w:val="Header"/>
        <w:numPr>
          <w:ilvl w:val="0"/>
          <w:numId w:val="1"/>
        </w:numPr>
        <w:tabs>
          <w:tab w:val="clear" w:pos="502"/>
          <w:tab w:val="clear" w:pos="4153"/>
          <w:tab w:val="clear" w:pos="8306"/>
          <w:tab w:val="num" w:pos="426"/>
          <w:tab w:val="num" w:pos="644"/>
        </w:tabs>
        <w:ind w:right="-1"/>
        <w:rPr>
          <w:rFonts w:cs="Arial"/>
          <w:sz w:val="20"/>
          <w:szCs w:val="20"/>
        </w:rPr>
      </w:pPr>
      <w:r w:rsidRPr="00532975">
        <w:rPr>
          <w:rFonts w:cs="Arial"/>
          <w:sz w:val="20"/>
          <w:szCs w:val="20"/>
        </w:rPr>
        <w:t>Transparency and accountability; and</w:t>
      </w:r>
    </w:p>
    <w:p w:rsidR="00D30342" w:rsidRDefault="00D30342" w:rsidP="00D30342">
      <w:pPr>
        <w:pStyle w:val="Header"/>
        <w:numPr>
          <w:ilvl w:val="0"/>
          <w:numId w:val="1"/>
        </w:numPr>
        <w:tabs>
          <w:tab w:val="clear" w:pos="502"/>
          <w:tab w:val="clear" w:pos="4153"/>
          <w:tab w:val="clear" w:pos="8306"/>
          <w:tab w:val="num" w:pos="426"/>
          <w:tab w:val="num" w:pos="644"/>
        </w:tabs>
        <w:ind w:right="-1"/>
        <w:rPr>
          <w:rFonts w:cs="Arial"/>
          <w:sz w:val="20"/>
          <w:szCs w:val="20"/>
        </w:rPr>
      </w:pPr>
      <w:r w:rsidRPr="00532975">
        <w:rPr>
          <w:rFonts w:cs="Arial"/>
          <w:sz w:val="20"/>
          <w:szCs w:val="20"/>
        </w:rPr>
        <w:t>Involvement of consumers and communities.</w:t>
      </w:r>
    </w:p>
    <w:p w:rsidR="00864164" w:rsidRPr="00532975" w:rsidRDefault="00864164" w:rsidP="00D30342">
      <w:pPr>
        <w:pStyle w:val="Header"/>
        <w:numPr>
          <w:ilvl w:val="0"/>
          <w:numId w:val="1"/>
        </w:numPr>
        <w:tabs>
          <w:tab w:val="clear" w:pos="502"/>
          <w:tab w:val="clear" w:pos="4153"/>
          <w:tab w:val="clear" w:pos="8306"/>
          <w:tab w:val="num" w:pos="426"/>
          <w:tab w:val="num" w:pos="644"/>
        </w:tabs>
        <w:ind w:right="-1"/>
        <w:rPr>
          <w:rFonts w:cs="Arial"/>
          <w:sz w:val="20"/>
          <w:szCs w:val="20"/>
        </w:rPr>
      </w:pPr>
      <w:r>
        <w:rPr>
          <w:rFonts w:cs="Arial"/>
          <w:sz w:val="20"/>
          <w:szCs w:val="20"/>
        </w:rPr>
        <w:t xml:space="preserve">Review and audit processes for all reporting purposes </w:t>
      </w:r>
    </w:p>
    <w:p w:rsidR="00D30342" w:rsidRPr="00532975" w:rsidRDefault="00D30342" w:rsidP="00D30342">
      <w:pPr>
        <w:pStyle w:val="Header"/>
        <w:ind w:left="142"/>
        <w:rPr>
          <w:rFonts w:cs="Arial"/>
          <w:b/>
          <w:sz w:val="20"/>
          <w:szCs w:val="20"/>
        </w:rPr>
      </w:pPr>
    </w:p>
    <w:p w:rsidR="00D30342" w:rsidRPr="00532975" w:rsidRDefault="00D30342" w:rsidP="00D30342">
      <w:pPr>
        <w:pStyle w:val="Header"/>
        <w:rPr>
          <w:rFonts w:cs="Arial"/>
          <w:b/>
          <w:sz w:val="20"/>
          <w:szCs w:val="20"/>
          <w:u w:val="single"/>
        </w:rPr>
      </w:pPr>
      <w:r w:rsidRPr="00532975">
        <w:rPr>
          <w:rFonts w:cs="Arial"/>
          <w:b/>
          <w:sz w:val="20"/>
          <w:szCs w:val="20"/>
          <w:u w:val="single"/>
        </w:rPr>
        <w:t>ORGANISATIONAL ISSUES</w:t>
      </w:r>
    </w:p>
    <w:p w:rsidR="00D30342" w:rsidRPr="00532975" w:rsidRDefault="00D30342" w:rsidP="00D30342">
      <w:pPr>
        <w:pStyle w:val="Header"/>
        <w:rPr>
          <w:rFonts w:cs="Arial"/>
          <w:sz w:val="20"/>
          <w:szCs w:val="20"/>
        </w:rPr>
      </w:pPr>
      <w:r w:rsidRPr="00532975">
        <w:rPr>
          <w:rFonts w:cs="Arial"/>
          <w:sz w:val="20"/>
          <w:szCs w:val="20"/>
        </w:rPr>
        <w:t>The organisation should ensure:-</w:t>
      </w:r>
    </w:p>
    <w:p w:rsidR="00D30342" w:rsidRPr="00532975" w:rsidRDefault="009C29E9" w:rsidP="00D30342">
      <w:pPr>
        <w:pStyle w:val="Header"/>
        <w:numPr>
          <w:ilvl w:val="0"/>
          <w:numId w:val="2"/>
        </w:numPr>
        <w:tabs>
          <w:tab w:val="clear" w:pos="4153"/>
          <w:tab w:val="clear" w:pos="8306"/>
        </w:tabs>
        <w:ind w:right="-1"/>
        <w:rPr>
          <w:rFonts w:cs="Arial"/>
          <w:sz w:val="20"/>
          <w:szCs w:val="20"/>
        </w:rPr>
      </w:pPr>
      <w:r>
        <w:rPr>
          <w:rFonts w:cs="Arial"/>
          <w:sz w:val="20"/>
          <w:szCs w:val="20"/>
        </w:rPr>
        <w:t xml:space="preserve">Visiting </w:t>
      </w:r>
      <w:r w:rsidR="00D30342" w:rsidRPr="00532975">
        <w:rPr>
          <w:rFonts w:cs="Arial"/>
          <w:sz w:val="20"/>
          <w:szCs w:val="20"/>
        </w:rPr>
        <w:t>Practitioners</w:t>
      </w:r>
      <w:r>
        <w:rPr>
          <w:rFonts w:cs="Arial"/>
          <w:sz w:val="20"/>
          <w:szCs w:val="20"/>
        </w:rPr>
        <w:t xml:space="preserve"> (VPs)</w:t>
      </w:r>
      <w:r w:rsidR="00D30342" w:rsidRPr="00532975">
        <w:rPr>
          <w:rFonts w:cs="Arial"/>
          <w:sz w:val="20"/>
          <w:szCs w:val="20"/>
        </w:rPr>
        <w:t xml:space="preserve"> agree to comply with the policy for credentialing and defining the scope of clinical practice.</w:t>
      </w:r>
    </w:p>
    <w:p w:rsidR="00D30342" w:rsidRPr="00532975" w:rsidRDefault="009C29E9" w:rsidP="00D30342">
      <w:pPr>
        <w:pStyle w:val="Header"/>
        <w:numPr>
          <w:ilvl w:val="0"/>
          <w:numId w:val="2"/>
        </w:numPr>
        <w:tabs>
          <w:tab w:val="clear" w:pos="4153"/>
          <w:tab w:val="clear" w:pos="8306"/>
        </w:tabs>
        <w:ind w:right="-1"/>
        <w:rPr>
          <w:rFonts w:cs="Arial"/>
          <w:sz w:val="20"/>
          <w:szCs w:val="20"/>
        </w:rPr>
      </w:pPr>
      <w:r>
        <w:rPr>
          <w:rFonts w:cs="Arial"/>
          <w:sz w:val="20"/>
          <w:szCs w:val="20"/>
        </w:rPr>
        <w:t>VPs</w:t>
      </w:r>
      <w:r w:rsidR="00D30342" w:rsidRPr="00532975">
        <w:rPr>
          <w:rFonts w:cs="Arial"/>
          <w:sz w:val="20"/>
          <w:szCs w:val="20"/>
        </w:rPr>
        <w:t xml:space="preserve"> and management have a clear understanding of the clinical need and capability of the organisation.</w:t>
      </w:r>
    </w:p>
    <w:p w:rsidR="00D30342" w:rsidRPr="00532975" w:rsidRDefault="00D30342" w:rsidP="00D30342">
      <w:pPr>
        <w:pStyle w:val="Header"/>
        <w:numPr>
          <w:ilvl w:val="0"/>
          <w:numId w:val="2"/>
        </w:numPr>
        <w:tabs>
          <w:tab w:val="clear" w:pos="4153"/>
          <w:tab w:val="clear" w:pos="8306"/>
        </w:tabs>
        <w:ind w:right="-1"/>
        <w:rPr>
          <w:rFonts w:cs="Arial"/>
          <w:sz w:val="20"/>
          <w:szCs w:val="20"/>
        </w:rPr>
      </w:pPr>
      <w:r w:rsidRPr="00532975">
        <w:rPr>
          <w:rFonts w:cs="Arial"/>
          <w:sz w:val="20"/>
          <w:szCs w:val="20"/>
        </w:rPr>
        <w:t>Appropriate mentoring and professional support is provided for the practitioner’s clinical practice.</w:t>
      </w:r>
    </w:p>
    <w:p w:rsidR="00D30342" w:rsidRPr="00532975" w:rsidRDefault="00864164" w:rsidP="00D30342">
      <w:pPr>
        <w:pStyle w:val="Header"/>
        <w:numPr>
          <w:ilvl w:val="0"/>
          <w:numId w:val="2"/>
        </w:numPr>
        <w:tabs>
          <w:tab w:val="clear" w:pos="4153"/>
          <w:tab w:val="clear" w:pos="8306"/>
        </w:tabs>
        <w:ind w:right="-1"/>
        <w:rPr>
          <w:rFonts w:cs="Arial"/>
          <w:sz w:val="20"/>
          <w:szCs w:val="20"/>
        </w:rPr>
      </w:pPr>
      <w:r>
        <w:rPr>
          <w:rFonts w:cs="Arial"/>
          <w:sz w:val="20"/>
          <w:szCs w:val="20"/>
        </w:rPr>
        <w:t>Compliance</w:t>
      </w:r>
      <w:r w:rsidR="009C29E9">
        <w:rPr>
          <w:rFonts w:cs="Arial"/>
          <w:sz w:val="20"/>
          <w:szCs w:val="20"/>
        </w:rPr>
        <w:t xml:space="preserve"> at all times</w:t>
      </w:r>
      <w:r>
        <w:rPr>
          <w:rFonts w:cs="Arial"/>
          <w:sz w:val="20"/>
          <w:szCs w:val="20"/>
        </w:rPr>
        <w:t xml:space="preserve"> with the S</w:t>
      </w:r>
      <w:r w:rsidR="00D30342" w:rsidRPr="00532975">
        <w:rPr>
          <w:rFonts w:cs="Arial"/>
          <w:sz w:val="20"/>
          <w:szCs w:val="20"/>
        </w:rPr>
        <w:t>tandard</w:t>
      </w:r>
      <w:r>
        <w:rPr>
          <w:rFonts w:cs="Arial"/>
          <w:sz w:val="20"/>
          <w:szCs w:val="20"/>
        </w:rPr>
        <w:t>s</w:t>
      </w:r>
      <w:r w:rsidR="009C29E9">
        <w:rPr>
          <w:rFonts w:cs="Arial"/>
          <w:sz w:val="20"/>
          <w:szCs w:val="20"/>
        </w:rPr>
        <w:t>/Legislation</w:t>
      </w:r>
      <w:r w:rsidR="00D30342" w:rsidRPr="00532975">
        <w:rPr>
          <w:rFonts w:cs="Arial"/>
          <w:sz w:val="20"/>
          <w:szCs w:val="20"/>
        </w:rPr>
        <w:t>.</w:t>
      </w:r>
    </w:p>
    <w:p w:rsidR="00D30342" w:rsidRPr="00532975" w:rsidRDefault="00D30342" w:rsidP="00D30342">
      <w:pPr>
        <w:pStyle w:val="Header"/>
        <w:numPr>
          <w:ilvl w:val="0"/>
          <w:numId w:val="2"/>
        </w:numPr>
        <w:tabs>
          <w:tab w:val="clear" w:pos="4153"/>
          <w:tab w:val="clear" w:pos="8306"/>
        </w:tabs>
        <w:ind w:right="-1"/>
        <w:rPr>
          <w:rFonts w:cs="Arial"/>
          <w:sz w:val="20"/>
          <w:szCs w:val="20"/>
        </w:rPr>
      </w:pPr>
      <w:r w:rsidRPr="00532975">
        <w:rPr>
          <w:rFonts w:cs="Arial"/>
          <w:sz w:val="20"/>
          <w:szCs w:val="20"/>
        </w:rPr>
        <w:t>Maintenance of compreh</w:t>
      </w:r>
      <w:r w:rsidR="00864164">
        <w:rPr>
          <w:rFonts w:cs="Arial"/>
          <w:sz w:val="20"/>
          <w:szCs w:val="20"/>
        </w:rPr>
        <w:t>ensive</w:t>
      </w:r>
      <w:r w:rsidR="009C29E9">
        <w:rPr>
          <w:rFonts w:cs="Arial"/>
          <w:sz w:val="20"/>
          <w:szCs w:val="20"/>
        </w:rPr>
        <w:t xml:space="preserve"> patient</w:t>
      </w:r>
      <w:r w:rsidR="00864164">
        <w:rPr>
          <w:rFonts w:cs="Arial"/>
          <w:sz w:val="20"/>
          <w:szCs w:val="20"/>
        </w:rPr>
        <w:t xml:space="preserve"> records; </w:t>
      </w:r>
    </w:p>
    <w:p w:rsidR="00D30342" w:rsidRDefault="00D30342" w:rsidP="00D30342">
      <w:pPr>
        <w:pStyle w:val="Header"/>
        <w:numPr>
          <w:ilvl w:val="0"/>
          <w:numId w:val="2"/>
        </w:numPr>
        <w:tabs>
          <w:tab w:val="clear" w:pos="4153"/>
          <w:tab w:val="clear" w:pos="8306"/>
        </w:tabs>
        <w:ind w:right="-1"/>
        <w:rPr>
          <w:rFonts w:cs="Arial"/>
          <w:sz w:val="20"/>
          <w:szCs w:val="20"/>
        </w:rPr>
      </w:pPr>
      <w:r w:rsidRPr="00532975">
        <w:rPr>
          <w:rFonts w:cs="Arial"/>
          <w:sz w:val="20"/>
          <w:szCs w:val="20"/>
        </w:rPr>
        <w:t>Appropriate indemnity insurance for credentialed practitioners and credentialing committee members.</w:t>
      </w:r>
    </w:p>
    <w:p w:rsidR="009965BF" w:rsidRPr="00532975" w:rsidRDefault="009965BF" w:rsidP="00D30342">
      <w:pPr>
        <w:pStyle w:val="Header"/>
        <w:numPr>
          <w:ilvl w:val="0"/>
          <w:numId w:val="2"/>
        </w:numPr>
        <w:tabs>
          <w:tab w:val="clear" w:pos="4153"/>
          <w:tab w:val="clear" w:pos="8306"/>
        </w:tabs>
        <w:ind w:right="-1"/>
        <w:rPr>
          <w:rFonts w:cs="Arial"/>
          <w:sz w:val="20"/>
          <w:szCs w:val="20"/>
        </w:rPr>
      </w:pPr>
      <w:r>
        <w:rPr>
          <w:rFonts w:cs="Arial"/>
          <w:sz w:val="20"/>
          <w:szCs w:val="20"/>
        </w:rPr>
        <w:t xml:space="preserve">VP’s fully record in the Medical Record details of patient consultation or groups to ensure accuracy of coding for billing </w:t>
      </w:r>
      <w:proofErr w:type="spellStart"/>
      <w:r>
        <w:rPr>
          <w:rFonts w:cs="Arial"/>
          <w:sz w:val="20"/>
          <w:szCs w:val="20"/>
        </w:rPr>
        <w:t>peurposes</w:t>
      </w:r>
      <w:proofErr w:type="spellEnd"/>
    </w:p>
    <w:p w:rsidR="00D30342" w:rsidRPr="00532975" w:rsidRDefault="00D30342" w:rsidP="00D30342">
      <w:pPr>
        <w:rPr>
          <w:rFonts w:ascii="Arial" w:hAnsi="Arial" w:cs="Arial"/>
          <w:sz w:val="20"/>
          <w:szCs w:val="20"/>
        </w:rPr>
      </w:pPr>
    </w:p>
    <w:p w:rsidR="00D30342" w:rsidRPr="00532975" w:rsidRDefault="00D30342" w:rsidP="00D30342">
      <w:pPr>
        <w:pStyle w:val="Header"/>
        <w:rPr>
          <w:rFonts w:cs="Arial"/>
          <w:b/>
          <w:sz w:val="20"/>
          <w:szCs w:val="20"/>
          <w:u w:val="single"/>
        </w:rPr>
      </w:pPr>
      <w:r w:rsidRPr="00532975">
        <w:rPr>
          <w:rFonts w:cs="Arial"/>
          <w:b/>
          <w:sz w:val="20"/>
          <w:szCs w:val="20"/>
          <w:u w:val="single"/>
        </w:rPr>
        <w:t>BY-LAWS FOR VISITING PRACTITIONERS (VP)</w:t>
      </w:r>
    </w:p>
    <w:p w:rsidR="00D30342" w:rsidRPr="00532975" w:rsidRDefault="00D30342" w:rsidP="00D30342">
      <w:pPr>
        <w:pStyle w:val="Header"/>
        <w:rPr>
          <w:rFonts w:cs="Arial"/>
          <w:sz w:val="20"/>
          <w:szCs w:val="20"/>
        </w:rPr>
      </w:pPr>
      <w:r w:rsidRPr="00532975">
        <w:rPr>
          <w:rFonts w:cs="Arial"/>
          <w:sz w:val="20"/>
          <w:szCs w:val="20"/>
        </w:rPr>
        <w:t>The following By-Laws have been drawn up to help the users and the management of the Hospital to establish guidelines for optimum patient care.</w:t>
      </w:r>
    </w:p>
    <w:p w:rsidR="00D30342" w:rsidRPr="00532975" w:rsidRDefault="00D30342" w:rsidP="00D30342">
      <w:pPr>
        <w:pStyle w:val="Header"/>
        <w:rPr>
          <w:rFonts w:cs="Arial"/>
          <w:b/>
          <w:sz w:val="20"/>
          <w:szCs w:val="20"/>
        </w:rPr>
      </w:pPr>
    </w:p>
    <w:p w:rsidR="00D30342" w:rsidRPr="00532975" w:rsidRDefault="00D30342" w:rsidP="00D30342">
      <w:pPr>
        <w:pStyle w:val="Header"/>
        <w:rPr>
          <w:rFonts w:cs="Arial"/>
          <w:sz w:val="20"/>
          <w:szCs w:val="20"/>
          <w:u w:val="single"/>
        </w:rPr>
      </w:pPr>
      <w:r w:rsidRPr="00532975">
        <w:rPr>
          <w:rFonts w:cs="Arial"/>
          <w:b/>
          <w:sz w:val="20"/>
          <w:szCs w:val="20"/>
          <w:u w:val="single"/>
        </w:rPr>
        <w:t>WHY?</w:t>
      </w:r>
    </w:p>
    <w:p w:rsidR="00D30342" w:rsidRPr="00532975" w:rsidRDefault="00D30342" w:rsidP="00D30342">
      <w:pPr>
        <w:pStyle w:val="Header"/>
        <w:numPr>
          <w:ilvl w:val="0"/>
          <w:numId w:val="3"/>
        </w:numPr>
        <w:tabs>
          <w:tab w:val="clear" w:pos="4153"/>
          <w:tab w:val="clear" w:pos="8306"/>
        </w:tabs>
        <w:ind w:right="-1"/>
        <w:rPr>
          <w:rFonts w:cs="Arial"/>
          <w:sz w:val="20"/>
          <w:szCs w:val="20"/>
        </w:rPr>
      </w:pPr>
      <w:r w:rsidRPr="00532975">
        <w:rPr>
          <w:rFonts w:cs="Arial"/>
          <w:sz w:val="20"/>
          <w:szCs w:val="20"/>
        </w:rPr>
        <w:t xml:space="preserve">Health care facilities are not allowed to permit </w:t>
      </w:r>
      <w:r w:rsidR="00864164">
        <w:rPr>
          <w:rFonts w:cs="Arial"/>
          <w:sz w:val="20"/>
          <w:szCs w:val="20"/>
        </w:rPr>
        <w:t xml:space="preserve">the </w:t>
      </w:r>
      <w:r w:rsidR="0089132B">
        <w:rPr>
          <w:rFonts w:cs="Arial"/>
          <w:sz w:val="20"/>
          <w:szCs w:val="20"/>
        </w:rPr>
        <w:t>VP</w:t>
      </w:r>
      <w:r w:rsidR="005F50E8">
        <w:rPr>
          <w:rFonts w:cs="Arial"/>
          <w:sz w:val="20"/>
          <w:szCs w:val="20"/>
        </w:rPr>
        <w:t xml:space="preserve"> to work without appropriate </w:t>
      </w:r>
      <w:r w:rsidRPr="00532975">
        <w:rPr>
          <w:rFonts w:cs="Arial"/>
          <w:sz w:val="20"/>
          <w:szCs w:val="20"/>
        </w:rPr>
        <w:t>credentialing and defining their scope of clinical practice.</w:t>
      </w:r>
    </w:p>
    <w:p w:rsidR="00D30342" w:rsidRPr="00532975" w:rsidRDefault="00D30342" w:rsidP="00D30342">
      <w:pPr>
        <w:pStyle w:val="Header"/>
        <w:numPr>
          <w:ilvl w:val="0"/>
          <w:numId w:val="3"/>
        </w:numPr>
        <w:tabs>
          <w:tab w:val="clear" w:pos="4153"/>
          <w:tab w:val="clear" w:pos="8306"/>
        </w:tabs>
        <w:ind w:right="-1"/>
        <w:rPr>
          <w:rFonts w:cs="Arial"/>
          <w:sz w:val="20"/>
          <w:szCs w:val="20"/>
        </w:rPr>
      </w:pPr>
      <w:r w:rsidRPr="00532975">
        <w:rPr>
          <w:rFonts w:cs="Arial"/>
          <w:sz w:val="20"/>
          <w:szCs w:val="20"/>
        </w:rPr>
        <w:t>All information must be verified.</w:t>
      </w:r>
    </w:p>
    <w:p w:rsidR="00D30342" w:rsidRPr="0089132B" w:rsidRDefault="00D30342" w:rsidP="00D30342">
      <w:pPr>
        <w:pStyle w:val="Header"/>
        <w:numPr>
          <w:ilvl w:val="0"/>
          <w:numId w:val="3"/>
        </w:numPr>
        <w:tabs>
          <w:tab w:val="clear" w:pos="4153"/>
          <w:tab w:val="clear" w:pos="8306"/>
        </w:tabs>
        <w:ind w:right="-1"/>
        <w:rPr>
          <w:rFonts w:cs="Arial"/>
          <w:sz w:val="20"/>
          <w:szCs w:val="20"/>
        </w:rPr>
      </w:pPr>
      <w:r w:rsidRPr="0089132B">
        <w:rPr>
          <w:rFonts w:cs="Arial"/>
          <w:sz w:val="20"/>
          <w:szCs w:val="20"/>
        </w:rPr>
        <w:t xml:space="preserve">Prior to re-appointment, every </w:t>
      </w:r>
      <w:r w:rsidR="0089132B" w:rsidRPr="0089132B">
        <w:rPr>
          <w:rFonts w:cs="Arial"/>
          <w:sz w:val="20"/>
          <w:szCs w:val="20"/>
        </w:rPr>
        <w:t>VP</w:t>
      </w:r>
      <w:r w:rsidRPr="0089132B">
        <w:rPr>
          <w:rFonts w:cs="Arial"/>
          <w:sz w:val="20"/>
          <w:szCs w:val="20"/>
        </w:rPr>
        <w:t xml:space="preserve"> is subject to </w:t>
      </w:r>
      <w:r w:rsidR="005F50E8">
        <w:rPr>
          <w:rFonts w:cs="Arial"/>
          <w:sz w:val="20"/>
          <w:szCs w:val="20"/>
        </w:rPr>
        <w:t>r</w:t>
      </w:r>
      <w:r w:rsidRPr="0089132B">
        <w:rPr>
          <w:rFonts w:cs="Arial"/>
          <w:sz w:val="20"/>
          <w:szCs w:val="20"/>
        </w:rPr>
        <w:t>e-evaluation</w:t>
      </w:r>
      <w:r w:rsidR="009C29E9">
        <w:rPr>
          <w:rFonts w:cs="Arial"/>
          <w:sz w:val="20"/>
          <w:szCs w:val="20"/>
        </w:rPr>
        <w:t xml:space="preserve"> by members of MAC</w:t>
      </w:r>
      <w:r w:rsidR="009965BF">
        <w:rPr>
          <w:rFonts w:cs="Arial"/>
          <w:sz w:val="20"/>
          <w:szCs w:val="20"/>
        </w:rPr>
        <w:t xml:space="preserve"> and Hospital Management</w:t>
      </w:r>
      <w:r w:rsidRPr="0089132B">
        <w:rPr>
          <w:rFonts w:cs="Arial"/>
          <w:sz w:val="20"/>
          <w:szCs w:val="20"/>
        </w:rPr>
        <w:t>.</w:t>
      </w:r>
    </w:p>
    <w:p w:rsidR="00D30342" w:rsidRPr="00532975" w:rsidRDefault="00D30342" w:rsidP="00D30342">
      <w:pPr>
        <w:pStyle w:val="Header"/>
        <w:numPr>
          <w:ilvl w:val="0"/>
          <w:numId w:val="3"/>
        </w:numPr>
        <w:tabs>
          <w:tab w:val="clear" w:pos="4153"/>
          <w:tab w:val="clear" w:pos="8306"/>
        </w:tabs>
        <w:ind w:right="-1"/>
        <w:rPr>
          <w:rFonts w:cs="Arial"/>
          <w:sz w:val="20"/>
          <w:szCs w:val="20"/>
        </w:rPr>
      </w:pPr>
      <w:r w:rsidRPr="00532975">
        <w:rPr>
          <w:rFonts w:cs="Arial"/>
          <w:sz w:val="20"/>
          <w:szCs w:val="20"/>
        </w:rPr>
        <w:t xml:space="preserve">Credentialing exists to serve patients by enabling hospitals to </w:t>
      </w:r>
      <w:r w:rsidR="009C29E9">
        <w:rPr>
          <w:rFonts w:cs="Arial"/>
          <w:sz w:val="20"/>
          <w:szCs w:val="20"/>
        </w:rPr>
        <w:t>ensure/</w:t>
      </w:r>
      <w:r w:rsidRPr="00532975">
        <w:rPr>
          <w:rFonts w:cs="Arial"/>
          <w:sz w:val="20"/>
          <w:szCs w:val="20"/>
        </w:rPr>
        <w:t xml:space="preserve">appoint qualified </w:t>
      </w:r>
      <w:r w:rsidR="0089132B">
        <w:rPr>
          <w:rFonts w:cs="Arial"/>
          <w:sz w:val="20"/>
          <w:szCs w:val="20"/>
        </w:rPr>
        <w:t>VP</w:t>
      </w:r>
      <w:r w:rsidR="009C29E9">
        <w:rPr>
          <w:rFonts w:cs="Arial"/>
          <w:sz w:val="20"/>
          <w:szCs w:val="20"/>
        </w:rPr>
        <w:t>s</w:t>
      </w:r>
      <w:r w:rsidR="0089132B">
        <w:rPr>
          <w:rFonts w:cs="Arial"/>
          <w:sz w:val="20"/>
          <w:szCs w:val="20"/>
        </w:rPr>
        <w:t>.</w:t>
      </w:r>
    </w:p>
    <w:p w:rsidR="00D30342" w:rsidRPr="00532975" w:rsidRDefault="00D30342" w:rsidP="00D30342">
      <w:pPr>
        <w:pStyle w:val="Header"/>
        <w:numPr>
          <w:ilvl w:val="0"/>
          <w:numId w:val="3"/>
        </w:numPr>
        <w:tabs>
          <w:tab w:val="clear" w:pos="4153"/>
          <w:tab w:val="clear" w:pos="8306"/>
        </w:tabs>
        <w:ind w:right="-1"/>
        <w:rPr>
          <w:rFonts w:cs="Arial"/>
          <w:sz w:val="20"/>
          <w:szCs w:val="20"/>
        </w:rPr>
      </w:pPr>
      <w:r w:rsidRPr="00532975">
        <w:rPr>
          <w:rFonts w:cs="Arial"/>
          <w:sz w:val="20"/>
          <w:szCs w:val="20"/>
        </w:rPr>
        <w:t xml:space="preserve">Defining the scope of clinical practice exists to ensure the delivery by qualified </w:t>
      </w:r>
      <w:r w:rsidR="0089132B">
        <w:rPr>
          <w:rFonts w:cs="Arial"/>
          <w:sz w:val="20"/>
          <w:szCs w:val="20"/>
        </w:rPr>
        <w:t>VP</w:t>
      </w:r>
      <w:r w:rsidR="009C29E9">
        <w:rPr>
          <w:rFonts w:cs="Arial"/>
          <w:sz w:val="20"/>
          <w:szCs w:val="20"/>
        </w:rPr>
        <w:t>s</w:t>
      </w:r>
      <w:r w:rsidRPr="00532975">
        <w:rPr>
          <w:rFonts w:cs="Arial"/>
          <w:sz w:val="20"/>
          <w:szCs w:val="20"/>
        </w:rPr>
        <w:t xml:space="preserve"> of safe and quality health care.</w:t>
      </w:r>
    </w:p>
    <w:p w:rsidR="00D30342" w:rsidRPr="00532975" w:rsidRDefault="00D30342" w:rsidP="00D30342">
      <w:pPr>
        <w:rPr>
          <w:rFonts w:ascii="Arial" w:hAnsi="Arial" w:cs="Arial"/>
          <w:sz w:val="20"/>
          <w:szCs w:val="20"/>
        </w:rPr>
      </w:pPr>
    </w:p>
    <w:p w:rsidR="00D30342" w:rsidRPr="00532975" w:rsidRDefault="00D30342" w:rsidP="00D30342">
      <w:pPr>
        <w:pStyle w:val="Header"/>
        <w:rPr>
          <w:rFonts w:cs="Arial"/>
          <w:b/>
          <w:sz w:val="20"/>
          <w:szCs w:val="20"/>
          <w:u w:val="single"/>
        </w:rPr>
      </w:pPr>
      <w:r w:rsidRPr="00532975">
        <w:rPr>
          <w:rFonts w:cs="Arial"/>
          <w:b/>
          <w:sz w:val="20"/>
          <w:szCs w:val="20"/>
          <w:u w:val="single"/>
        </w:rPr>
        <w:t>MEDICAL ADVISORY COMMITTEE</w:t>
      </w:r>
    </w:p>
    <w:p w:rsidR="00D30342" w:rsidRDefault="00D30342" w:rsidP="00D30342">
      <w:pPr>
        <w:pStyle w:val="Header"/>
        <w:rPr>
          <w:rFonts w:cs="Arial"/>
          <w:sz w:val="20"/>
          <w:szCs w:val="20"/>
        </w:rPr>
      </w:pPr>
      <w:r w:rsidRPr="00532975">
        <w:rPr>
          <w:rFonts w:cs="Arial"/>
          <w:sz w:val="20"/>
          <w:szCs w:val="20"/>
        </w:rPr>
        <w:t>The Medical Advisory Committee (MAC) which is elected by Visiting Practitioners is the advisory group to the SMM that oversees all approvals of Visiting Practitioners as well as all related activities pertaining to Visiting Practitioners involvement in the Hospital.  The Medical Advisory Committee has a representative</w:t>
      </w:r>
      <w:r w:rsidR="005F50E8">
        <w:rPr>
          <w:rFonts w:cs="Arial"/>
          <w:sz w:val="20"/>
          <w:szCs w:val="20"/>
        </w:rPr>
        <w:t xml:space="preserve"> </w:t>
      </w:r>
      <w:r w:rsidRPr="00532975">
        <w:rPr>
          <w:rFonts w:cs="Arial"/>
          <w:sz w:val="20"/>
          <w:szCs w:val="20"/>
        </w:rPr>
        <w:t xml:space="preserve">from each area of practice.  </w:t>
      </w:r>
      <w:r w:rsidR="005F50E8">
        <w:rPr>
          <w:rFonts w:cs="Arial"/>
          <w:sz w:val="20"/>
          <w:szCs w:val="20"/>
        </w:rPr>
        <w:t>For Malvern Private that means for example:-</w:t>
      </w:r>
    </w:p>
    <w:p w:rsidR="005F50E8" w:rsidRDefault="005F50E8" w:rsidP="00D30342">
      <w:pPr>
        <w:pStyle w:val="Header"/>
        <w:rPr>
          <w:rFonts w:cs="Arial"/>
          <w:sz w:val="20"/>
          <w:szCs w:val="20"/>
        </w:rPr>
      </w:pPr>
    </w:p>
    <w:p w:rsidR="005F50E8" w:rsidRDefault="005F50E8" w:rsidP="005F50E8">
      <w:pPr>
        <w:pStyle w:val="Header"/>
        <w:numPr>
          <w:ilvl w:val="0"/>
          <w:numId w:val="23"/>
        </w:numPr>
        <w:rPr>
          <w:rFonts w:cs="Arial"/>
          <w:sz w:val="20"/>
          <w:szCs w:val="20"/>
        </w:rPr>
      </w:pPr>
      <w:r>
        <w:rPr>
          <w:rFonts w:cs="Arial"/>
          <w:sz w:val="20"/>
          <w:szCs w:val="20"/>
        </w:rPr>
        <w:t>Addiction Medicine Specialists</w:t>
      </w:r>
    </w:p>
    <w:p w:rsidR="005F50E8" w:rsidRDefault="005F50E8" w:rsidP="005F50E8">
      <w:pPr>
        <w:pStyle w:val="Header"/>
        <w:numPr>
          <w:ilvl w:val="0"/>
          <w:numId w:val="23"/>
        </w:numPr>
        <w:rPr>
          <w:rFonts w:cs="Arial"/>
          <w:sz w:val="20"/>
          <w:szCs w:val="20"/>
        </w:rPr>
      </w:pPr>
      <w:r>
        <w:rPr>
          <w:rFonts w:cs="Arial"/>
          <w:sz w:val="20"/>
          <w:szCs w:val="20"/>
        </w:rPr>
        <w:t>Psychiatrists</w:t>
      </w:r>
    </w:p>
    <w:p w:rsidR="00D30342" w:rsidRPr="00F05FBE" w:rsidRDefault="005F50E8" w:rsidP="00CB78ED">
      <w:pPr>
        <w:pStyle w:val="Header"/>
        <w:numPr>
          <w:ilvl w:val="0"/>
          <w:numId w:val="23"/>
        </w:numPr>
        <w:spacing w:before="120"/>
        <w:jc w:val="both"/>
        <w:rPr>
          <w:rFonts w:cs="Arial"/>
          <w:sz w:val="20"/>
          <w:szCs w:val="20"/>
        </w:rPr>
      </w:pPr>
      <w:r w:rsidRPr="00F05FBE">
        <w:rPr>
          <w:rFonts w:cs="Arial"/>
          <w:sz w:val="20"/>
          <w:szCs w:val="20"/>
        </w:rPr>
        <w:t xml:space="preserve">General Practitioners with AOD interest/qualification </w:t>
      </w:r>
    </w:p>
    <w:p w:rsidR="00D30342" w:rsidRPr="00532975" w:rsidRDefault="00D30342" w:rsidP="00D30342">
      <w:pPr>
        <w:pStyle w:val="Header"/>
        <w:spacing w:before="120"/>
        <w:jc w:val="both"/>
        <w:rPr>
          <w:rFonts w:cs="Arial"/>
          <w:sz w:val="20"/>
          <w:szCs w:val="20"/>
        </w:rPr>
      </w:pPr>
      <w:r w:rsidRPr="00532975">
        <w:rPr>
          <w:rFonts w:cs="Arial"/>
          <w:sz w:val="20"/>
          <w:szCs w:val="20"/>
        </w:rPr>
        <w:t xml:space="preserve">The MAC is a peer group with the clear objective of ensuring an acceptable professional working environment, in all respects, </w:t>
      </w:r>
      <w:proofErr w:type="gramStart"/>
      <w:r w:rsidRPr="00532975">
        <w:rPr>
          <w:rFonts w:cs="Arial"/>
          <w:sz w:val="20"/>
          <w:szCs w:val="20"/>
        </w:rPr>
        <w:t>is maintained</w:t>
      </w:r>
      <w:proofErr w:type="gramEnd"/>
      <w:r w:rsidRPr="00532975">
        <w:rPr>
          <w:rFonts w:cs="Arial"/>
          <w:sz w:val="20"/>
          <w:szCs w:val="20"/>
        </w:rPr>
        <w:t xml:space="preserve"> for the benefit of patients, Visiting Practitioners and the Hospital.</w:t>
      </w:r>
    </w:p>
    <w:p w:rsidR="00D30342" w:rsidRPr="00532975" w:rsidRDefault="00D30342" w:rsidP="00D30342">
      <w:pPr>
        <w:pStyle w:val="Header"/>
        <w:jc w:val="both"/>
        <w:rPr>
          <w:rFonts w:cs="Arial"/>
          <w:b/>
          <w:sz w:val="20"/>
          <w:szCs w:val="20"/>
          <w:u w:val="single"/>
        </w:rPr>
      </w:pPr>
    </w:p>
    <w:p w:rsidR="00D30342" w:rsidRPr="00532975" w:rsidRDefault="00D30342" w:rsidP="00D30342">
      <w:pPr>
        <w:pStyle w:val="Header"/>
        <w:jc w:val="both"/>
        <w:rPr>
          <w:rFonts w:cs="Arial"/>
          <w:sz w:val="20"/>
          <w:szCs w:val="20"/>
        </w:rPr>
      </w:pPr>
      <w:r w:rsidRPr="00532975">
        <w:rPr>
          <w:rFonts w:cs="Arial"/>
          <w:b/>
          <w:sz w:val="20"/>
          <w:szCs w:val="20"/>
          <w:u w:val="single"/>
        </w:rPr>
        <w:t>STRUCTURE OF THE MEDICAL ADVISORY COMMITTEE</w:t>
      </w:r>
      <w:r w:rsidR="009C29E9">
        <w:rPr>
          <w:rFonts w:cs="Arial"/>
          <w:b/>
          <w:sz w:val="20"/>
          <w:szCs w:val="20"/>
          <w:u w:val="single"/>
        </w:rPr>
        <w:t xml:space="preserve"> (MAC)</w:t>
      </w:r>
      <w:r w:rsidRPr="00532975">
        <w:rPr>
          <w:rFonts w:cs="Arial"/>
          <w:sz w:val="20"/>
          <w:szCs w:val="20"/>
        </w:rPr>
        <w:t xml:space="preserve"> </w:t>
      </w:r>
    </w:p>
    <w:p w:rsidR="00D30342" w:rsidRPr="00532975" w:rsidRDefault="00D30342" w:rsidP="00D30342">
      <w:pPr>
        <w:pStyle w:val="Header"/>
        <w:numPr>
          <w:ilvl w:val="0"/>
          <w:numId w:val="5"/>
        </w:numPr>
        <w:tabs>
          <w:tab w:val="clear" w:pos="4153"/>
          <w:tab w:val="clear" w:pos="8306"/>
        </w:tabs>
        <w:ind w:left="499" w:hanging="357"/>
        <w:jc w:val="both"/>
        <w:rPr>
          <w:rFonts w:cs="Arial"/>
          <w:sz w:val="20"/>
          <w:szCs w:val="20"/>
        </w:rPr>
      </w:pPr>
      <w:r w:rsidRPr="00532975">
        <w:rPr>
          <w:rFonts w:cs="Arial"/>
          <w:sz w:val="20"/>
          <w:szCs w:val="20"/>
        </w:rPr>
        <w:t>The Medical Advisory Committee shall consist of appointed and/or elected Visiting</w:t>
      </w:r>
      <w:r w:rsidR="0089132B">
        <w:rPr>
          <w:rFonts w:cs="Arial"/>
          <w:sz w:val="20"/>
          <w:szCs w:val="20"/>
        </w:rPr>
        <w:t xml:space="preserve"> </w:t>
      </w:r>
      <w:r w:rsidRPr="00532975">
        <w:rPr>
          <w:rFonts w:cs="Arial"/>
          <w:sz w:val="20"/>
          <w:szCs w:val="20"/>
        </w:rPr>
        <w:t>Practitioners that represent the hospitals clinical departments.</w:t>
      </w:r>
    </w:p>
    <w:p w:rsidR="00D30342" w:rsidRPr="00BC75E9" w:rsidRDefault="00D30342" w:rsidP="00AA5A18">
      <w:pPr>
        <w:pStyle w:val="Header"/>
        <w:numPr>
          <w:ilvl w:val="0"/>
          <w:numId w:val="5"/>
        </w:numPr>
        <w:tabs>
          <w:tab w:val="clear" w:pos="4153"/>
          <w:tab w:val="clear" w:pos="8306"/>
        </w:tabs>
        <w:ind w:left="499" w:hanging="357"/>
        <w:jc w:val="both"/>
        <w:rPr>
          <w:rFonts w:cs="Arial"/>
          <w:sz w:val="20"/>
          <w:szCs w:val="20"/>
        </w:rPr>
      </w:pPr>
      <w:r w:rsidRPr="00BC75E9">
        <w:rPr>
          <w:rFonts w:cs="Arial"/>
          <w:sz w:val="20"/>
          <w:szCs w:val="20"/>
        </w:rPr>
        <w:t>The Medical Advisory Committee shall elect office bearer to the position of Chairman</w:t>
      </w:r>
      <w:r w:rsidR="00BC75E9" w:rsidRPr="00BC75E9">
        <w:rPr>
          <w:rFonts w:cs="Arial"/>
          <w:sz w:val="20"/>
          <w:szCs w:val="20"/>
        </w:rPr>
        <w:t>/Hospital Medical Director</w:t>
      </w:r>
      <w:r w:rsidRPr="00BC75E9">
        <w:rPr>
          <w:rFonts w:cs="Arial"/>
          <w:sz w:val="20"/>
          <w:szCs w:val="20"/>
        </w:rPr>
        <w:t xml:space="preserve">, Office Bearers of the Medical Advisory Committee (also known as the Medical Executive) shall be elected for a </w:t>
      </w:r>
      <w:r w:rsidR="00F05FBE" w:rsidRPr="00BC75E9">
        <w:rPr>
          <w:rFonts w:cs="Arial"/>
          <w:sz w:val="20"/>
          <w:szCs w:val="20"/>
        </w:rPr>
        <w:t>3-year</w:t>
      </w:r>
      <w:r w:rsidRPr="00BC75E9">
        <w:rPr>
          <w:rFonts w:cs="Arial"/>
          <w:sz w:val="20"/>
          <w:szCs w:val="20"/>
        </w:rPr>
        <w:t xml:space="preserve"> term of office.</w:t>
      </w:r>
    </w:p>
    <w:p w:rsidR="00D30342" w:rsidRPr="00532975" w:rsidRDefault="00D30342" w:rsidP="00D30342">
      <w:pPr>
        <w:pStyle w:val="Header"/>
        <w:numPr>
          <w:ilvl w:val="0"/>
          <w:numId w:val="5"/>
        </w:numPr>
        <w:tabs>
          <w:tab w:val="clear" w:pos="4153"/>
          <w:tab w:val="clear" w:pos="8306"/>
        </w:tabs>
        <w:ind w:left="499" w:hanging="357"/>
        <w:jc w:val="both"/>
        <w:rPr>
          <w:rFonts w:cs="Arial"/>
          <w:sz w:val="20"/>
          <w:szCs w:val="20"/>
        </w:rPr>
      </w:pPr>
      <w:r w:rsidRPr="00532975">
        <w:rPr>
          <w:rFonts w:cs="Arial"/>
          <w:sz w:val="20"/>
          <w:szCs w:val="20"/>
        </w:rPr>
        <w:t>The number of office bearers is to be no less than 3.</w:t>
      </w:r>
    </w:p>
    <w:p w:rsidR="00D30342" w:rsidRPr="00532975" w:rsidRDefault="00D30342" w:rsidP="00D30342">
      <w:pPr>
        <w:pStyle w:val="Header"/>
        <w:numPr>
          <w:ilvl w:val="0"/>
          <w:numId w:val="5"/>
        </w:numPr>
        <w:tabs>
          <w:tab w:val="clear" w:pos="4153"/>
          <w:tab w:val="clear" w:pos="8306"/>
        </w:tabs>
        <w:ind w:left="499" w:hanging="357"/>
        <w:jc w:val="both"/>
        <w:rPr>
          <w:rFonts w:cs="Arial"/>
          <w:sz w:val="20"/>
          <w:szCs w:val="20"/>
        </w:rPr>
      </w:pPr>
      <w:r w:rsidRPr="00532975">
        <w:rPr>
          <w:rFonts w:cs="Arial"/>
          <w:sz w:val="20"/>
          <w:szCs w:val="20"/>
        </w:rPr>
        <w:t>Three members of the Committee shall constitute a quorum and no business shall be transacted at a meeting of the Committee unless a quorum is present.</w:t>
      </w:r>
    </w:p>
    <w:p w:rsidR="00D30342" w:rsidRPr="009C29E9" w:rsidRDefault="00D30342" w:rsidP="00D30342">
      <w:pPr>
        <w:pStyle w:val="Header"/>
        <w:numPr>
          <w:ilvl w:val="0"/>
          <w:numId w:val="5"/>
        </w:numPr>
        <w:tabs>
          <w:tab w:val="clear" w:pos="4153"/>
          <w:tab w:val="clear" w:pos="8306"/>
        </w:tabs>
        <w:ind w:left="499" w:hanging="357"/>
        <w:jc w:val="both"/>
        <w:rPr>
          <w:rFonts w:cs="Arial"/>
          <w:sz w:val="20"/>
          <w:szCs w:val="20"/>
        </w:rPr>
      </w:pPr>
      <w:r w:rsidRPr="009C29E9">
        <w:rPr>
          <w:rFonts w:cs="Arial"/>
          <w:sz w:val="20"/>
          <w:szCs w:val="20"/>
        </w:rPr>
        <w:t xml:space="preserve">Ordinary meetings of the Medical Advisory Committee shall be held </w:t>
      </w:r>
      <w:r w:rsidR="0084471E" w:rsidRPr="009C29E9">
        <w:rPr>
          <w:rFonts w:cs="Arial"/>
          <w:sz w:val="20"/>
          <w:szCs w:val="20"/>
        </w:rPr>
        <w:t xml:space="preserve">every </w:t>
      </w:r>
      <w:r w:rsidR="00BC75E9">
        <w:rPr>
          <w:rFonts w:cs="Arial"/>
          <w:sz w:val="20"/>
          <w:szCs w:val="20"/>
        </w:rPr>
        <w:t>6</w:t>
      </w:r>
      <w:r w:rsidR="0084471E" w:rsidRPr="009C29E9">
        <w:rPr>
          <w:rFonts w:cs="Arial"/>
          <w:sz w:val="20"/>
          <w:szCs w:val="20"/>
        </w:rPr>
        <w:t xml:space="preserve"> months </w:t>
      </w:r>
      <w:r w:rsidRPr="009C29E9">
        <w:rPr>
          <w:rFonts w:cs="Arial"/>
          <w:sz w:val="20"/>
          <w:szCs w:val="20"/>
        </w:rPr>
        <w:t xml:space="preserve">at a time and place to be determined by the </w:t>
      </w:r>
      <w:r w:rsidR="009C29E9" w:rsidRPr="009C29E9">
        <w:rPr>
          <w:rFonts w:cs="Arial"/>
          <w:sz w:val="20"/>
          <w:szCs w:val="20"/>
        </w:rPr>
        <w:t>MAC</w:t>
      </w:r>
      <w:r w:rsidR="00BC75E9">
        <w:rPr>
          <w:rFonts w:cs="Arial"/>
          <w:sz w:val="20"/>
          <w:szCs w:val="20"/>
        </w:rPr>
        <w:t>.  The members of this meeting can call an extra meeting as required.  The members of this meeting meet weekly as the ICG group on Thursday morning at 0900hrs for any interim matters.</w:t>
      </w:r>
    </w:p>
    <w:p w:rsidR="0084471E" w:rsidRDefault="0084471E" w:rsidP="00D30342">
      <w:pPr>
        <w:pStyle w:val="Header"/>
        <w:numPr>
          <w:ilvl w:val="0"/>
          <w:numId w:val="5"/>
        </w:numPr>
        <w:tabs>
          <w:tab w:val="clear" w:pos="4153"/>
          <w:tab w:val="clear" w:pos="8306"/>
        </w:tabs>
        <w:ind w:left="499" w:hanging="357"/>
        <w:jc w:val="both"/>
        <w:rPr>
          <w:rFonts w:cs="Arial"/>
          <w:sz w:val="20"/>
          <w:szCs w:val="20"/>
        </w:rPr>
      </w:pPr>
      <w:r w:rsidRPr="009C29E9">
        <w:rPr>
          <w:rFonts w:cs="Arial"/>
          <w:sz w:val="20"/>
          <w:szCs w:val="20"/>
        </w:rPr>
        <w:t xml:space="preserve">As part of the standing agenda items, the </w:t>
      </w:r>
      <w:r w:rsidR="009C29E9" w:rsidRPr="009C29E9">
        <w:rPr>
          <w:rFonts w:cs="Arial"/>
          <w:sz w:val="20"/>
          <w:szCs w:val="20"/>
        </w:rPr>
        <w:t>MAC</w:t>
      </w:r>
      <w:r w:rsidRPr="009C29E9">
        <w:rPr>
          <w:rFonts w:cs="Arial"/>
          <w:sz w:val="20"/>
          <w:szCs w:val="20"/>
        </w:rPr>
        <w:t xml:space="preserve"> shall </w:t>
      </w:r>
      <w:r w:rsidR="000B5248" w:rsidRPr="009C29E9">
        <w:rPr>
          <w:rFonts w:cs="Arial"/>
          <w:sz w:val="20"/>
          <w:szCs w:val="20"/>
        </w:rPr>
        <w:t>consider patient feedback data, issues of safety and quality, and carry out a review of incidents of patient escalation of care leading to transfers out of the facility per Standard 9</w:t>
      </w:r>
      <w:r w:rsidR="00C3575C" w:rsidRPr="009C29E9">
        <w:rPr>
          <w:rFonts w:cs="Arial"/>
          <w:sz w:val="20"/>
          <w:szCs w:val="20"/>
        </w:rPr>
        <w:t xml:space="preserve"> of the National Safety and Quality Health Service Standards (NSQHSS)</w:t>
      </w:r>
      <w:r w:rsidR="000B5248" w:rsidRPr="009C29E9">
        <w:rPr>
          <w:rFonts w:cs="Arial"/>
          <w:sz w:val="20"/>
          <w:szCs w:val="20"/>
        </w:rPr>
        <w:t xml:space="preserve"> requirement.</w:t>
      </w:r>
      <w:r w:rsidR="009C29E9">
        <w:rPr>
          <w:rFonts w:cs="Arial"/>
          <w:sz w:val="20"/>
          <w:szCs w:val="20"/>
        </w:rPr>
        <w:t xml:space="preserve"> </w:t>
      </w:r>
      <w:proofErr w:type="gramStart"/>
      <w:r w:rsidR="009C29E9">
        <w:rPr>
          <w:rFonts w:cs="Arial"/>
          <w:sz w:val="20"/>
          <w:szCs w:val="20"/>
        </w:rPr>
        <w:t>And</w:t>
      </w:r>
      <w:proofErr w:type="gramEnd"/>
      <w:r w:rsidR="009C29E9">
        <w:rPr>
          <w:rFonts w:cs="Arial"/>
          <w:sz w:val="20"/>
          <w:szCs w:val="20"/>
        </w:rPr>
        <w:t xml:space="preserve"> other items as per the Terms of Reference of the Committee. </w:t>
      </w:r>
    </w:p>
    <w:p w:rsidR="00F05FBE" w:rsidRPr="009C29E9" w:rsidRDefault="00F05FBE" w:rsidP="00D30342">
      <w:pPr>
        <w:pStyle w:val="Header"/>
        <w:numPr>
          <w:ilvl w:val="0"/>
          <w:numId w:val="5"/>
        </w:numPr>
        <w:tabs>
          <w:tab w:val="clear" w:pos="4153"/>
          <w:tab w:val="clear" w:pos="8306"/>
        </w:tabs>
        <w:ind w:left="499" w:hanging="357"/>
        <w:jc w:val="both"/>
        <w:rPr>
          <w:rFonts w:cs="Arial"/>
          <w:sz w:val="20"/>
          <w:szCs w:val="20"/>
        </w:rPr>
      </w:pPr>
      <w:r>
        <w:rPr>
          <w:rFonts w:cs="Arial"/>
          <w:sz w:val="20"/>
          <w:szCs w:val="20"/>
        </w:rPr>
        <w:t xml:space="preserve">Actions and outcomes from this committee </w:t>
      </w:r>
      <w:proofErr w:type="gramStart"/>
      <w:r>
        <w:rPr>
          <w:rFonts w:cs="Arial"/>
          <w:sz w:val="20"/>
          <w:szCs w:val="20"/>
        </w:rPr>
        <w:t>are shared</w:t>
      </w:r>
      <w:proofErr w:type="gramEnd"/>
      <w:r>
        <w:rPr>
          <w:rFonts w:cs="Arial"/>
          <w:sz w:val="20"/>
          <w:szCs w:val="20"/>
        </w:rPr>
        <w:t xml:space="preserve"> to the SMM committee via the Hospital Director.</w:t>
      </w:r>
    </w:p>
    <w:p w:rsidR="00D30342" w:rsidRDefault="00D30342" w:rsidP="00D30342">
      <w:pPr>
        <w:pStyle w:val="Header"/>
        <w:rPr>
          <w:rFonts w:cs="Arial"/>
          <w:b/>
          <w:sz w:val="20"/>
          <w:szCs w:val="20"/>
          <w:u w:val="single"/>
        </w:rPr>
      </w:pPr>
    </w:p>
    <w:p w:rsidR="00435F36" w:rsidRPr="00532975" w:rsidRDefault="00435F36" w:rsidP="00D30342">
      <w:pPr>
        <w:pStyle w:val="Header"/>
        <w:rPr>
          <w:rFonts w:cs="Arial"/>
          <w:b/>
          <w:sz w:val="20"/>
          <w:szCs w:val="20"/>
          <w:u w:val="single"/>
        </w:rPr>
      </w:pPr>
    </w:p>
    <w:p w:rsidR="00D30342" w:rsidRPr="00532975" w:rsidRDefault="00D30342" w:rsidP="00D30342">
      <w:pPr>
        <w:pStyle w:val="Header"/>
        <w:jc w:val="both"/>
        <w:rPr>
          <w:rFonts w:cs="Arial"/>
          <w:b/>
          <w:sz w:val="20"/>
          <w:szCs w:val="20"/>
          <w:u w:val="single"/>
        </w:rPr>
      </w:pPr>
      <w:r w:rsidRPr="00532975">
        <w:rPr>
          <w:rFonts w:cs="Arial"/>
          <w:b/>
          <w:sz w:val="20"/>
          <w:szCs w:val="20"/>
          <w:u w:val="single"/>
        </w:rPr>
        <w:t>USE OF THE HOSPITAL – INITIAL CREDENTIALS</w:t>
      </w:r>
    </w:p>
    <w:p w:rsidR="00D30342" w:rsidRPr="00532975" w:rsidRDefault="00D30342" w:rsidP="00D30342">
      <w:pPr>
        <w:pStyle w:val="Header"/>
        <w:numPr>
          <w:ilvl w:val="0"/>
          <w:numId w:val="6"/>
        </w:numPr>
        <w:tabs>
          <w:tab w:val="clear" w:pos="4153"/>
          <w:tab w:val="clear" w:pos="8306"/>
        </w:tabs>
        <w:ind w:left="499" w:hanging="357"/>
        <w:jc w:val="both"/>
        <w:rPr>
          <w:rFonts w:cs="Arial"/>
          <w:sz w:val="20"/>
          <w:szCs w:val="20"/>
        </w:rPr>
      </w:pPr>
      <w:r w:rsidRPr="00532975">
        <w:rPr>
          <w:rFonts w:cs="Arial"/>
          <w:sz w:val="20"/>
          <w:szCs w:val="20"/>
        </w:rPr>
        <w:t xml:space="preserve">Any registered Visiting Practitioner (Medical Practitioner or Allied Health Practitioner) is eligible to apply to use the facilities of the Hospital.  After completing the application form and the Hospital Director has received evidence of registration with the </w:t>
      </w:r>
      <w:r w:rsidR="0089132B">
        <w:rPr>
          <w:rFonts w:cs="Arial"/>
          <w:sz w:val="20"/>
          <w:szCs w:val="20"/>
        </w:rPr>
        <w:t>AHPRA - Australian Health Practitioner Regulation Agency (</w:t>
      </w:r>
      <w:r w:rsidR="00E52BFD">
        <w:rPr>
          <w:rFonts w:cs="Arial"/>
          <w:sz w:val="20"/>
          <w:szCs w:val="20"/>
        </w:rPr>
        <w:t>i.e.</w:t>
      </w:r>
      <w:r w:rsidR="0089132B">
        <w:rPr>
          <w:rFonts w:cs="Arial"/>
          <w:sz w:val="20"/>
          <w:szCs w:val="20"/>
        </w:rPr>
        <w:t xml:space="preserve"> Register of Practitioners) </w:t>
      </w:r>
      <w:r w:rsidRPr="00532975">
        <w:rPr>
          <w:rFonts w:cs="Arial"/>
          <w:sz w:val="20"/>
          <w:szCs w:val="20"/>
        </w:rPr>
        <w:t>and Medical Indemnity Insurance and evidence of any appropriate professional fellowship or membership.  Two written references are also to accompany the application form.  Referees should be telephoned by the Hospital Director or the appropriate Head of Department to verify their credentials.  Proof of current Medical Board Registration and Medical Indemnity Insurance must be submitted annually and evidence of recognition as a Specialist Practitioner (if appropriate) must be submitted annually.</w:t>
      </w:r>
    </w:p>
    <w:p w:rsidR="00D30342" w:rsidRPr="00532975" w:rsidRDefault="00D30342" w:rsidP="00D30342">
      <w:pPr>
        <w:pStyle w:val="Header"/>
        <w:numPr>
          <w:ilvl w:val="0"/>
          <w:numId w:val="6"/>
        </w:numPr>
        <w:tabs>
          <w:tab w:val="clear" w:pos="4153"/>
          <w:tab w:val="clear" w:pos="8306"/>
        </w:tabs>
        <w:ind w:left="499" w:hanging="357"/>
        <w:jc w:val="both"/>
        <w:rPr>
          <w:rFonts w:cs="Arial"/>
          <w:sz w:val="20"/>
          <w:szCs w:val="20"/>
        </w:rPr>
      </w:pPr>
      <w:r w:rsidRPr="00532975">
        <w:rPr>
          <w:rFonts w:cs="Arial"/>
          <w:sz w:val="20"/>
          <w:szCs w:val="20"/>
        </w:rPr>
        <w:t>All visiting privileges will be subject to review by the Senior Management Committee and Medical Advisory Committee each triennium.</w:t>
      </w:r>
    </w:p>
    <w:p w:rsidR="00D30342" w:rsidRPr="00532975" w:rsidRDefault="00D30342" w:rsidP="00D30342">
      <w:pPr>
        <w:pStyle w:val="Header"/>
        <w:numPr>
          <w:ilvl w:val="0"/>
          <w:numId w:val="6"/>
        </w:numPr>
        <w:tabs>
          <w:tab w:val="clear" w:pos="4153"/>
          <w:tab w:val="clear" w:pos="8306"/>
        </w:tabs>
        <w:ind w:left="499" w:hanging="357"/>
        <w:jc w:val="both"/>
        <w:rPr>
          <w:rFonts w:cs="Arial"/>
          <w:sz w:val="20"/>
          <w:szCs w:val="20"/>
        </w:rPr>
      </w:pPr>
      <w:r w:rsidRPr="00532975">
        <w:rPr>
          <w:rFonts w:cs="Arial"/>
          <w:sz w:val="20"/>
          <w:szCs w:val="20"/>
        </w:rPr>
        <w:t>The committee should review both the clinical services being requested by the medical practitioner, including objective performance data and references.  Once the review is complete, the Committee should determine if the services will benefit the patient population and are within the organisation’s service needs and capacity before making any recommendations.</w:t>
      </w:r>
    </w:p>
    <w:p w:rsidR="00D30342" w:rsidRPr="00CC732F" w:rsidRDefault="00D30342" w:rsidP="00CC732F">
      <w:pPr>
        <w:pStyle w:val="Header"/>
        <w:numPr>
          <w:ilvl w:val="0"/>
          <w:numId w:val="6"/>
        </w:numPr>
        <w:tabs>
          <w:tab w:val="clear" w:pos="4153"/>
          <w:tab w:val="clear" w:pos="8306"/>
        </w:tabs>
        <w:ind w:left="499" w:hanging="357"/>
        <w:jc w:val="both"/>
        <w:rPr>
          <w:rFonts w:cs="Arial"/>
          <w:sz w:val="20"/>
          <w:szCs w:val="20"/>
        </w:rPr>
      </w:pPr>
      <w:r w:rsidRPr="00A32A35">
        <w:rPr>
          <w:rFonts w:cs="Arial"/>
          <w:sz w:val="20"/>
          <w:szCs w:val="20"/>
        </w:rPr>
        <w:t xml:space="preserve">The Senior Management Committee in conjunction with the Medical Advisory Committee’s Chairman may withdraw permission for the use of the Hospital at its </w:t>
      </w:r>
      <w:r w:rsidR="00CC732F">
        <w:rPr>
          <w:rFonts w:cs="Arial"/>
          <w:sz w:val="20"/>
          <w:szCs w:val="20"/>
        </w:rPr>
        <w:t>discretion.</w:t>
      </w:r>
    </w:p>
    <w:p w:rsidR="00875B89" w:rsidRDefault="00D30342" w:rsidP="00D30342">
      <w:pPr>
        <w:pStyle w:val="Header"/>
        <w:numPr>
          <w:ilvl w:val="0"/>
          <w:numId w:val="6"/>
        </w:numPr>
        <w:tabs>
          <w:tab w:val="clear" w:pos="4153"/>
          <w:tab w:val="clear" w:pos="8306"/>
        </w:tabs>
        <w:ind w:left="499" w:hanging="357"/>
        <w:jc w:val="both"/>
        <w:rPr>
          <w:rFonts w:cs="Arial"/>
          <w:sz w:val="20"/>
          <w:szCs w:val="20"/>
        </w:rPr>
      </w:pPr>
      <w:r w:rsidRPr="004E5C2A">
        <w:rPr>
          <w:rFonts w:cs="Arial"/>
          <w:sz w:val="20"/>
          <w:szCs w:val="20"/>
        </w:rPr>
        <w:t xml:space="preserve">These By-Laws are subject to revision biennially or as required by the SMM or MAC. Amendments may be discussed by the Medical Advisory Committee with recommendations to the Senior Management Meeting for consideration and if felt appropriate, acceptance. Copies of the By-Laws and amendments are available from </w:t>
      </w:r>
    </w:p>
    <w:p w:rsidR="00875B89" w:rsidRDefault="00875B89" w:rsidP="00875B89">
      <w:pPr>
        <w:pStyle w:val="Header"/>
        <w:tabs>
          <w:tab w:val="clear" w:pos="4153"/>
          <w:tab w:val="clear" w:pos="8306"/>
        </w:tabs>
        <w:ind w:left="499"/>
        <w:jc w:val="both"/>
        <w:rPr>
          <w:rFonts w:cs="Arial"/>
          <w:sz w:val="20"/>
          <w:szCs w:val="20"/>
        </w:rPr>
      </w:pPr>
    </w:p>
    <w:p w:rsidR="00D30342" w:rsidRPr="004E5C2A" w:rsidRDefault="00D30342" w:rsidP="00875B89">
      <w:pPr>
        <w:pStyle w:val="Header"/>
        <w:tabs>
          <w:tab w:val="clear" w:pos="4153"/>
          <w:tab w:val="clear" w:pos="8306"/>
        </w:tabs>
        <w:ind w:left="499"/>
        <w:jc w:val="both"/>
        <w:rPr>
          <w:rFonts w:cs="Arial"/>
          <w:sz w:val="20"/>
          <w:szCs w:val="20"/>
        </w:rPr>
      </w:pPr>
      <w:r w:rsidRPr="004E5C2A">
        <w:rPr>
          <w:rFonts w:cs="Arial"/>
          <w:sz w:val="20"/>
          <w:szCs w:val="20"/>
        </w:rPr>
        <w:t>the Hospital Director. The use of the Hospital by a Visiting Practitioner is subject to his/her observing the By-Laws of the Hospital and adhering to them.</w:t>
      </w:r>
    </w:p>
    <w:p w:rsidR="00D30342" w:rsidRPr="00532975" w:rsidRDefault="00D30342" w:rsidP="00D30342">
      <w:pPr>
        <w:pStyle w:val="Header"/>
        <w:numPr>
          <w:ilvl w:val="0"/>
          <w:numId w:val="6"/>
        </w:numPr>
        <w:tabs>
          <w:tab w:val="clear" w:pos="4153"/>
          <w:tab w:val="clear" w:pos="8306"/>
        </w:tabs>
        <w:ind w:left="499" w:hanging="357"/>
        <w:jc w:val="both"/>
        <w:rPr>
          <w:rFonts w:cs="Arial"/>
          <w:sz w:val="20"/>
          <w:szCs w:val="20"/>
        </w:rPr>
      </w:pPr>
      <w:r w:rsidRPr="00532975">
        <w:rPr>
          <w:rFonts w:cs="Arial"/>
          <w:sz w:val="20"/>
          <w:szCs w:val="20"/>
        </w:rPr>
        <w:t xml:space="preserve">All Visiting Practitioners will receive on commencement a copy of the </w:t>
      </w:r>
    </w:p>
    <w:p w:rsidR="00D30342" w:rsidRPr="00532975" w:rsidRDefault="00D30342" w:rsidP="00D30342">
      <w:pPr>
        <w:pStyle w:val="Header"/>
        <w:tabs>
          <w:tab w:val="clear" w:pos="4153"/>
          <w:tab w:val="clear" w:pos="8306"/>
        </w:tabs>
        <w:ind w:left="499"/>
        <w:jc w:val="both"/>
        <w:rPr>
          <w:rFonts w:cs="Arial"/>
          <w:sz w:val="20"/>
          <w:szCs w:val="20"/>
        </w:rPr>
      </w:pPr>
      <w:r w:rsidRPr="00532975">
        <w:rPr>
          <w:rFonts w:cs="Arial"/>
          <w:sz w:val="20"/>
          <w:szCs w:val="20"/>
        </w:rPr>
        <w:t xml:space="preserve">By-Laws and will be notified of all formalised amendments within 28 days of such amendments. </w:t>
      </w:r>
    </w:p>
    <w:p w:rsidR="00D30342" w:rsidRPr="00532975" w:rsidRDefault="00D30342" w:rsidP="00D30342">
      <w:pPr>
        <w:pStyle w:val="Header"/>
        <w:numPr>
          <w:ilvl w:val="0"/>
          <w:numId w:val="6"/>
        </w:numPr>
        <w:tabs>
          <w:tab w:val="clear" w:pos="4153"/>
          <w:tab w:val="clear" w:pos="8306"/>
        </w:tabs>
        <w:ind w:left="499" w:hanging="357"/>
        <w:jc w:val="both"/>
        <w:rPr>
          <w:rFonts w:cs="Arial"/>
          <w:sz w:val="20"/>
          <w:szCs w:val="20"/>
        </w:rPr>
      </w:pPr>
      <w:r w:rsidRPr="00532975">
        <w:rPr>
          <w:rFonts w:cs="Arial"/>
          <w:sz w:val="20"/>
          <w:szCs w:val="20"/>
        </w:rPr>
        <w:t>R</w:t>
      </w:r>
      <w:r w:rsidR="009C29E9">
        <w:rPr>
          <w:rFonts w:cs="Arial"/>
          <w:sz w:val="20"/>
          <w:szCs w:val="20"/>
        </w:rPr>
        <w:t>eapplication is required every 3</w:t>
      </w:r>
      <w:r w:rsidRPr="00532975">
        <w:rPr>
          <w:rFonts w:cs="Arial"/>
          <w:sz w:val="20"/>
          <w:szCs w:val="20"/>
        </w:rPr>
        <w:t xml:space="preserve"> years.</w:t>
      </w:r>
    </w:p>
    <w:p w:rsidR="00D30342" w:rsidRPr="00532975" w:rsidRDefault="00D30342" w:rsidP="00D30342">
      <w:pPr>
        <w:pStyle w:val="Header"/>
        <w:jc w:val="both"/>
        <w:rPr>
          <w:rFonts w:cs="Arial"/>
          <w:b/>
          <w:sz w:val="20"/>
          <w:szCs w:val="20"/>
          <w:u w:val="single"/>
        </w:rPr>
      </w:pPr>
    </w:p>
    <w:p w:rsidR="009C29E9" w:rsidRDefault="009C29E9" w:rsidP="00D30342">
      <w:pPr>
        <w:pStyle w:val="Header"/>
        <w:jc w:val="both"/>
        <w:rPr>
          <w:rFonts w:cs="Arial"/>
          <w:b/>
          <w:sz w:val="20"/>
          <w:szCs w:val="20"/>
          <w:u w:val="single"/>
        </w:rPr>
      </w:pPr>
    </w:p>
    <w:p w:rsidR="00D30342" w:rsidRPr="00532975" w:rsidRDefault="00D30342" w:rsidP="00D30342">
      <w:pPr>
        <w:pStyle w:val="Header"/>
        <w:jc w:val="both"/>
        <w:rPr>
          <w:rFonts w:cs="Arial"/>
          <w:b/>
          <w:sz w:val="20"/>
          <w:szCs w:val="20"/>
          <w:u w:val="single"/>
        </w:rPr>
      </w:pPr>
      <w:r w:rsidRPr="00532975">
        <w:rPr>
          <w:rFonts w:cs="Arial"/>
          <w:b/>
          <w:sz w:val="20"/>
          <w:szCs w:val="20"/>
          <w:u w:val="single"/>
        </w:rPr>
        <w:t>TEMPORARY CREDENTIALITY</w:t>
      </w:r>
    </w:p>
    <w:p w:rsidR="00D30342" w:rsidRPr="00532975" w:rsidRDefault="00D30342" w:rsidP="00D30342">
      <w:pPr>
        <w:pStyle w:val="Header"/>
        <w:jc w:val="both"/>
        <w:rPr>
          <w:rFonts w:cs="Arial"/>
          <w:sz w:val="20"/>
          <w:szCs w:val="20"/>
        </w:rPr>
      </w:pPr>
      <w:r w:rsidRPr="00532975">
        <w:rPr>
          <w:rFonts w:cs="Arial"/>
          <w:sz w:val="20"/>
          <w:szCs w:val="20"/>
        </w:rPr>
        <w:t>The Chairperson of the Medical Advisory Committee</w:t>
      </w:r>
      <w:r w:rsidR="009C29E9">
        <w:rPr>
          <w:rFonts w:cs="Arial"/>
          <w:sz w:val="20"/>
          <w:szCs w:val="20"/>
        </w:rPr>
        <w:t xml:space="preserve"> in conjunction with the Hospital Director</w:t>
      </w:r>
      <w:r w:rsidRPr="00532975">
        <w:rPr>
          <w:rFonts w:cs="Arial"/>
          <w:sz w:val="20"/>
          <w:szCs w:val="20"/>
        </w:rPr>
        <w:t xml:space="preserve"> may give temporary permission for Visiting Practitioner rights. Thereafter following approval by the Medical Advisory Committee and the Senior Management Committee, the name of the Visiting Practitioner </w:t>
      </w:r>
      <w:proofErr w:type="gramStart"/>
      <w:r w:rsidRPr="00532975">
        <w:rPr>
          <w:rFonts w:cs="Arial"/>
          <w:sz w:val="20"/>
          <w:szCs w:val="20"/>
        </w:rPr>
        <w:t>will be added to the Visiting Practitioner Register</w:t>
      </w:r>
      <w:r w:rsidR="00F05FBE">
        <w:rPr>
          <w:rFonts w:cs="Arial"/>
          <w:sz w:val="20"/>
          <w:szCs w:val="20"/>
        </w:rPr>
        <w:t xml:space="preserve"> and provided full credentialing to practice at MPH</w:t>
      </w:r>
      <w:proofErr w:type="gramEnd"/>
      <w:r w:rsidR="00F05FBE">
        <w:rPr>
          <w:rFonts w:cs="Arial"/>
          <w:sz w:val="20"/>
          <w:szCs w:val="20"/>
        </w:rPr>
        <w:t>.</w:t>
      </w:r>
    </w:p>
    <w:p w:rsidR="00D30342" w:rsidRPr="00532975" w:rsidRDefault="00D30342" w:rsidP="00D30342">
      <w:pPr>
        <w:pStyle w:val="Header"/>
        <w:jc w:val="both"/>
        <w:rPr>
          <w:rFonts w:cs="Arial"/>
          <w:b/>
          <w:sz w:val="20"/>
          <w:szCs w:val="20"/>
          <w:u w:val="single"/>
        </w:rPr>
      </w:pPr>
    </w:p>
    <w:p w:rsidR="00D30342" w:rsidRPr="00532975" w:rsidRDefault="00D30342" w:rsidP="00D30342">
      <w:pPr>
        <w:pStyle w:val="Header"/>
        <w:jc w:val="both"/>
        <w:rPr>
          <w:rFonts w:cs="Arial"/>
          <w:b/>
          <w:sz w:val="20"/>
          <w:szCs w:val="20"/>
          <w:u w:val="single"/>
        </w:rPr>
      </w:pPr>
      <w:r w:rsidRPr="00532975">
        <w:rPr>
          <w:rFonts w:cs="Arial"/>
          <w:b/>
          <w:sz w:val="20"/>
          <w:szCs w:val="20"/>
          <w:u w:val="single"/>
        </w:rPr>
        <w:t>VP CLINICAL RESPONSIBILITIES</w:t>
      </w:r>
    </w:p>
    <w:p w:rsidR="00D30342" w:rsidRPr="00532975" w:rsidRDefault="00D30342" w:rsidP="00D30342">
      <w:pPr>
        <w:pStyle w:val="Header"/>
        <w:numPr>
          <w:ilvl w:val="0"/>
          <w:numId w:val="10"/>
        </w:numPr>
        <w:tabs>
          <w:tab w:val="clear" w:pos="4153"/>
          <w:tab w:val="clear" w:pos="8306"/>
        </w:tabs>
        <w:jc w:val="both"/>
        <w:rPr>
          <w:rFonts w:cs="Arial"/>
          <w:sz w:val="20"/>
          <w:szCs w:val="20"/>
        </w:rPr>
      </w:pPr>
      <w:r w:rsidRPr="00532975">
        <w:rPr>
          <w:rFonts w:cs="Arial"/>
          <w:sz w:val="20"/>
          <w:szCs w:val="20"/>
        </w:rPr>
        <w:t>The Visiting Practitioner admitting the patient will be regarded as responsible for the care of the patient until such time as the Hospital Director/Clinical Services Manager is notified of referral and transfer to the care of another Doctor, who is approved to use the Hospital. Such action is to be confirmed in writing as part of the Medical Record.</w:t>
      </w:r>
    </w:p>
    <w:p w:rsidR="00D30342" w:rsidRPr="00532975" w:rsidRDefault="00D30342" w:rsidP="00D30342">
      <w:pPr>
        <w:pStyle w:val="Header"/>
        <w:numPr>
          <w:ilvl w:val="0"/>
          <w:numId w:val="10"/>
        </w:numPr>
        <w:tabs>
          <w:tab w:val="clear" w:pos="4153"/>
          <w:tab w:val="clear" w:pos="8306"/>
        </w:tabs>
        <w:jc w:val="both"/>
        <w:rPr>
          <w:rFonts w:cs="Arial"/>
          <w:sz w:val="20"/>
          <w:szCs w:val="20"/>
        </w:rPr>
      </w:pPr>
      <w:r w:rsidRPr="00532975">
        <w:rPr>
          <w:rFonts w:cs="Arial"/>
          <w:sz w:val="20"/>
          <w:szCs w:val="20"/>
        </w:rPr>
        <w:t>All patients and or legal guardian are required to sign an approved document for informed consent for all procedures or treatment.  This is the responsibility of the Attending Medical Officer.</w:t>
      </w:r>
    </w:p>
    <w:p w:rsidR="00D30342" w:rsidRPr="006F0D1B" w:rsidRDefault="00D30342" w:rsidP="00D30342">
      <w:pPr>
        <w:pStyle w:val="Header"/>
        <w:numPr>
          <w:ilvl w:val="0"/>
          <w:numId w:val="10"/>
        </w:numPr>
        <w:tabs>
          <w:tab w:val="clear" w:pos="4153"/>
          <w:tab w:val="clear" w:pos="8306"/>
        </w:tabs>
        <w:jc w:val="both"/>
        <w:rPr>
          <w:rFonts w:cs="Arial"/>
          <w:sz w:val="20"/>
          <w:szCs w:val="20"/>
        </w:rPr>
      </w:pPr>
      <w:r w:rsidRPr="006F0D1B">
        <w:rPr>
          <w:rFonts w:cs="Arial"/>
          <w:sz w:val="20"/>
          <w:szCs w:val="20"/>
        </w:rPr>
        <w:t>Discharge of a patient may be authorised only by the attending Visiting Practitioner or some other Visiting Practitioner acting on her/his behalf.</w:t>
      </w:r>
    </w:p>
    <w:p w:rsidR="00D30342" w:rsidRPr="006F0D1B" w:rsidRDefault="00D30342" w:rsidP="00D30342">
      <w:pPr>
        <w:pStyle w:val="Header"/>
        <w:numPr>
          <w:ilvl w:val="0"/>
          <w:numId w:val="10"/>
        </w:numPr>
        <w:tabs>
          <w:tab w:val="clear" w:pos="4153"/>
          <w:tab w:val="clear" w:pos="8306"/>
        </w:tabs>
        <w:jc w:val="both"/>
        <w:rPr>
          <w:rFonts w:cs="Arial"/>
          <w:sz w:val="20"/>
          <w:szCs w:val="20"/>
        </w:rPr>
      </w:pPr>
      <w:r w:rsidRPr="006F0D1B">
        <w:rPr>
          <w:rFonts w:cs="Arial"/>
          <w:sz w:val="20"/>
          <w:szCs w:val="20"/>
        </w:rPr>
        <w:t>Visiting Practitioners admitting patients to the Hospital must see their patients within 24 hours of admission and also to be available for contact at all times, either in person or direct telecommunications or by the nominated Visiting Practitioner approved by the Hospital.</w:t>
      </w:r>
    </w:p>
    <w:p w:rsidR="00D30342" w:rsidRPr="00532975" w:rsidRDefault="00D30342" w:rsidP="00D30342">
      <w:pPr>
        <w:pStyle w:val="Header"/>
        <w:numPr>
          <w:ilvl w:val="0"/>
          <w:numId w:val="10"/>
        </w:numPr>
        <w:tabs>
          <w:tab w:val="clear" w:pos="4153"/>
          <w:tab w:val="clear" w:pos="8306"/>
        </w:tabs>
        <w:jc w:val="both"/>
        <w:rPr>
          <w:rFonts w:cs="Arial"/>
          <w:sz w:val="20"/>
          <w:szCs w:val="20"/>
        </w:rPr>
      </w:pPr>
      <w:r w:rsidRPr="00532975">
        <w:rPr>
          <w:rFonts w:cs="Arial"/>
          <w:sz w:val="20"/>
          <w:szCs w:val="20"/>
        </w:rPr>
        <w:t>Visiting Practitioners shall assist where possible, in the cases of emergency and on request, in terms of the above provisions.</w:t>
      </w:r>
    </w:p>
    <w:p w:rsidR="00D30342" w:rsidRPr="00532975" w:rsidRDefault="00D30342" w:rsidP="00D30342">
      <w:pPr>
        <w:pStyle w:val="Header"/>
        <w:numPr>
          <w:ilvl w:val="0"/>
          <w:numId w:val="10"/>
        </w:numPr>
        <w:tabs>
          <w:tab w:val="clear" w:pos="4153"/>
          <w:tab w:val="clear" w:pos="8306"/>
        </w:tabs>
        <w:jc w:val="both"/>
        <w:rPr>
          <w:rFonts w:cs="Arial"/>
          <w:sz w:val="20"/>
          <w:szCs w:val="20"/>
        </w:rPr>
      </w:pPr>
      <w:r w:rsidRPr="00532975">
        <w:rPr>
          <w:rFonts w:cs="Arial"/>
          <w:sz w:val="20"/>
          <w:szCs w:val="20"/>
        </w:rPr>
        <w:t>All approved Visiting Practitioners may be required to assist and advise the Hospital on clinical matters which from time to time may arise.</w:t>
      </w:r>
    </w:p>
    <w:p w:rsidR="00D30342" w:rsidRDefault="00D30342" w:rsidP="00D30342">
      <w:pPr>
        <w:pStyle w:val="Header"/>
        <w:numPr>
          <w:ilvl w:val="0"/>
          <w:numId w:val="10"/>
        </w:numPr>
        <w:tabs>
          <w:tab w:val="clear" w:pos="4153"/>
          <w:tab w:val="clear" w:pos="8306"/>
        </w:tabs>
        <w:jc w:val="both"/>
        <w:rPr>
          <w:rFonts w:cs="Arial"/>
          <w:sz w:val="20"/>
          <w:szCs w:val="20"/>
        </w:rPr>
      </w:pPr>
      <w:r w:rsidRPr="00532975">
        <w:rPr>
          <w:rFonts w:cs="Arial"/>
          <w:sz w:val="20"/>
          <w:szCs w:val="20"/>
        </w:rPr>
        <w:t>Leave to be notified.  If an accredited Practitioner wishes to take a period of leave of absence, he or she will give reasonable notice to the Hospital Director.</w:t>
      </w:r>
    </w:p>
    <w:p w:rsidR="009B486C" w:rsidRDefault="009B486C" w:rsidP="00D30342">
      <w:pPr>
        <w:pStyle w:val="Header"/>
        <w:numPr>
          <w:ilvl w:val="0"/>
          <w:numId w:val="10"/>
        </w:numPr>
        <w:tabs>
          <w:tab w:val="clear" w:pos="4153"/>
          <w:tab w:val="clear" w:pos="8306"/>
        </w:tabs>
        <w:jc w:val="both"/>
        <w:rPr>
          <w:rFonts w:cs="Arial"/>
          <w:sz w:val="20"/>
          <w:szCs w:val="20"/>
        </w:rPr>
      </w:pPr>
      <w:r>
        <w:rPr>
          <w:rFonts w:cs="Arial"/>
          <w:sz w:val="20"/>
          <w:szCs w:val="20"/>
        </w:rPr>
        <w:t xml:space="preserve">If leave </w:t>
      </w:r>
      <w:proofErr w:type="gramStart"/>
      <w:r>
        <w:rPr>
          <w:rFonts w:cs="Arial"/>
          <w:sz w:val="20"/>
          <w:szCs w:val="20"/>
        </w:rPr>
        <w:t>is taken</w:t>
      </w:r>
      <w:proofErr w:type="gramEnd"/>
      <w:r>
        <w:rPr>
          <w:rFonts w:cs="Arial"/>
          <w:sz w:val="20"/>
          <w:szCs w:val="20"/>
        </w:rPr>
        <w:t>, whether short or long term, the VP is obligated to nominate an equivalent practitioner to care for necessary patients.</w:t>
      </w:r>
    </w:p>
    <w:p w:rsidR="00F05FBE" w:rsidRPr="00F05FBE" w:rsidRDefault="00F05FBE" w:rsidP="00F05FBE">
      <w:pPr>
        <w:pStyle w:val="Header"/>
        <w:tabs>
          <w:tab w:val="clear" w:pos="4153"/>
          <w:tab w:val="clear" w:pos="8306"/>
        </w:tabs>
        <w:jc w:val="both"/>
        <w:rPr>
          <w:rFonts w:cs="Arial"/>
          <w:b/>
          <w:sz w:val="20"/>
          <w:szCs w:val="20"/>
        </w:rPr>
      </w:pPr>
    </w:p>
    <w:p w:rsidR="00F05FBE" w:rsidRPr="00F05FBE" w:rsidRDefault="00F05FBE" w:rsidP="00F05FBE">
      <w:pPr>
        <w:pStyle w:val="Heading2"/>
        <w:rPr>
          <w:rFonts w:ascii="Arial" w:hAnsi="Arial" w:cs="Arial"/>
          <w:b/>
          <w:color w:val="auto"/>
          <w:w w:val="105"/>
          <w:sz w:val="22"/>
          <w:szCs w:val="22"/>
          <w:u w:val="single"/>
        </w:rPr>
      </w:pPr>
      <w:bookmarkStart w:id="1" w:name="_Toc39058661"/>
      <w:bookmarkStart w:id="2" w:name="_Toc39069928"/>
      <w:r w:rsidRPr="00F05FBE">
        <w:rPr>
          <w:rFonts w:ascii="Arial" w:hAnsi="Arial" w:cs="Arial"/>
          <w:b/>
          <w:color w:val="auto"/>
          <w:w w:val="105"/>
          <w:sz w:val="22"/>
          <w:szCs w:val="22"/>
          <w:u w:val="single"/>
        </w:rPr>
        <w:t xml:space="preserve">CHANGING, </w:t>
      </w:r>
      <w:r w:rsidRPr="00F05FBE">
        <w:rPr>
          <w:rFonts w:ascii="Arial" w:hAnsi="Arial" w:cs="Arial"/>
          <w:b/>
          <w:color w:val="auto"/>
          <w:sz w:val="22"/>
          <w:szCs w:val="22"/>
          <w:u w:val="single"/>
        </w:rPr>
        <w:t>EXTENDING</w:t>
      </w:r>
      <w:r w:rsidRPr="00F05FBE">
        <w:rPr>
          <w:rFonts w:ascii="Arial" w:hAnsi="Arial" w:cs="Arial"/>
          <w:b/>
          <w:color w:val="auto"/>
          <w:w w:val="105"/>
          <w:sz w:val="22"/>
          <w:szCs w:val="22"/>
          <w:u w:val="single"/>
        </w:rPr>
        <w:t xml:space="preserve"> OR REDUCING THE SCOPE OF CLINICAL PRACTICE</w:t>
      </w:r>
      <w:bookmarkEnd w:id="1"/>
      <w:bookmarkEnd w:id="2"/>
      <w:r w:rsidRPr="00F05FBE">
        <w:rPr>
          <w:rFonts w:ascii="Arial" w:hAnsi="Arial" w:cs="Arial"/>
          <w:b/>
          <w:color w:val="auto"/>
          <w:w w:val="105"/>
          <w:sz w:val="22"/>
          <w:szCs w:val="22"/>
          <w:u w:val="single"/>
        </w:rPr>
        <w:t>:</w:t>
      </w:r>
    </w:p>
    <w:p w:rsidR="00F05FBE" w:rsidRPr="00F05FBE" w:rsidRDefault="00F05FBE" w:rsidP="00F05FBE">
      <w:pPr>
        <w:pStyle w:val="Normalfollowingheading"/>
        <w:rPr>
          <w:rFonts w:ascii="Arial" w:hAnsi="Arial" w:cs="Arial"/>
        </w:rPr>
      </w:pPr>
      <w:r>
        <w:rPr>
          <w:rFonts w:ascii="Arial" w:hAnsi="Arial" w:cs="Arial"/>
        </w:rPr>
        <w:t>W</w:t>
      </w:r>
      <w:r w:rsidRPr="00F05FBE">
        <w:rPr>
          <w:rFonts w:ascii="Arial" w:hAnsi="Arial" w:cs="Arial"/>
        </w:rPr>
        <w:t xml:space="preserve">hen a medical practitioner wishes to extend their scope of clinical practice, they must formally undergo appropriate credentialing and scope of clinical practice processes specifically for the new service or practice. Changes must align with the 'Requirements for medical practitioners who are changing their scope of practice' in the </w:t>
      </w:r>
      <w:hyperlink r:id="rId10" w:history="1">
        <w:r w:rsidRPr="00F05FBE">
          <w:rPr>
            <w:rFonts w:ascii="Arial" w:hAnsi="Arial" w:cs="Arial"/>
          </w:rPr>
          <w:t xml:space="preserve">Medical Board of Australia's </w:t>
        </w:r>
        <w:r w:rsidRPr="00F05FBE">
          <w:rPr>
            <w:rStyle w:val="Hyperlink"/>
            <w:rFonts w:ascii="Arial" w:hAnsi="Arial" w:cs="Arial"/>
            <w:color w:val="auto"/>
          </w:rPr>
          <w:t>Registration Standard – Regency of Practice</w:t>
        </w:r>
      </w:hyperlink>
      <w:r w:rsidRPr="00F05FBE">
        <w:rPr>
          <w:rFonts w:ascii="Arial" w:hAnsi="Arial" w:cs="Arial"/>
        </w:rPr>
        <w:t>.</w:t>
      </w:r>
    </w:p>
    <w:p w:rsidR="00F05FBE" w:rsidRPr="00F05FBE" w:rsidRDefault="00F05FBE" w:rsidP="00F05FBE">
      <w:pPr>
        <w:rPr>
          <w:rFonts w:ascii="Arial" w:hAnsi="Arial" w:cs="Arial"/>
          <w:sz w:val="20"/>
          <w:szCs w:val="20"/>
        </w:rPr>
      </w:pPr>
      <w:r w:rsidRPr="00F05FBE">
        <w:rPr>
          <w:rFonts w:ascii="Arial" w:hAnsi="Arial" w:cs="Arial"/>
          <w:sz w:val="20"/>
          <w:szCs w:val="20"/>
        </w:rPr>
        <w:t xml:space="preserve">The credentialing and scope of </w:t>
      </w:r>
      <w:r>
        <w:rPr>
          <w:rFonts w:ascii="Arial" w:hAnsi="Arial" w:cs="Arial"/>
          <w:sz w:val="20"/>
          <w:szCs w:val="20"/>
        </w:rPr>
        <w:t>the medical Advisory Committee</w:t>
      </w:r>
      <w:r w:rsidRPr="00F05FBE">
        <w:rPr>
          <w:rFonts w:ascii="Arial" w:hAnsi="Arial" w:cs="Arial"/>
          <w:sz w:val="20"/>
          <w:szCs w:val="20"/>
        </w:rPr>
        <w:t xml:space="preserve"> must be provided with the following information:</w:t>
      </w:r>
    </w:p>
    <w:p w:rsidR="00F05FBE" w:rsidRPr="00F05FBE" w:rsidRDefault="00F05FBE" w:rsidP="00F05FBE">
      <w:pPr>
        <w:pStyle w:val="Bullet1"/>
        <w:rPr>
          <w:rFonts w:ascii="Arial" w:hAnsi="Arial" w:cs="Arial"/>
        </w:rPr>
      </w:pPr>
      <w:r w:rsidRPr="00F05FBE">
        <w:rPr>
          <w:rFonts w:ascii="Arial" w:hAnsi="Arial" w:cs="Arial"/>
        </w:rPr>
        <w:t>the change to the scope of clinical practice requested</w:t>
      </w:r>
    </w:p>
    <w:p w:rsidR="00F05FBE" w:rsidRPr="00F05FBE" w:rsidRDefault="00F05FBE" w:rsidP="00F05FBE">
      <w:pPr>
        <w:pStyle w:val="Bullet1"/>
        <w:rPr>
          <w:rFonts w:ascii="Arial" w:hAnsi="Arial" w:cs="Arial"/>
        </w:rPr>
      </w:pPr>
      <w:r w:rsidRPr="00F05FBE">
        <w:rPr>
          <w:rFonts w:ascii="Arial" w:hAnsi="Arial" w:cs="Arial"/>
        </w:rPr>
        <w:t>additional procedural qualifications or experience related to the requested change</w:t>
      </w:r>
    </w:p>
    <w:p w:rsidR="00F05FBE" w:rsidRDefault="00F05FBE" w:rsidP="00F05FBE">
      <w:pPr>
        <w:pStyle w:val="Bullet1"/>
        <w:rPr>
          <w:rFonts w:ascii="Arial" w:hAnsi="Arial" w:cs="Arial"/>
        </w:rPr>
      </w:pPr>
      <w:r w:rsidRPr="00F05FBE">
        <w:rPr>
          <w:rFonts w:ascii="Arial" w:hAnsi="Arial" w:cs="Arial"/>
        </w:rPr>
        <w:t>for non-employed medical practitioners treating private patients in a public hospital: medical indemnity insurance information, ensuring the cover reflects the requested change to the scope of practice</w:t>
      </w:r>
    </w:p>
    <w:p w:rsidR="00F05FBE" w:rsidRPr="00F05FBE" w:rsidRDefault="00F05FBE" w:rsidP="00F05FBE">
      <w:pPr>
        <w:pStyle w:val="Bullet1"/>
        <w:rPr>
          <w:rFonts w:ascii="Arial" w:hAnsi="Arial" w:cs="Arial"/>
        </w:rPr>
      </w:pPr>
      <w:r>
        <w:rPr>
          <w:rFonts w:ascii="Arial" w:hAnsi="Arial" w:cs="Arial"/>
        </w:rPr>
        <w:t>Current registration in all fields requested credentialing for through AHPRA</w:t>
      </w:r>
    </w:p>
    <w:p w:rsidR="00F05FBE" w:rsidRPr="00F05FBE" w:rsidRDefault="00F05FBE" w:rsidP="00F05FBE">
      <w:pPr>
        <w:pStyle w:val="Bullet1"/>
        <w:rPr>
          <w:rFonts w:ascii="Arial" w:hAnsi="Arial" w:cs="Arial"/>
        </w:rPr>
      </w:pPr>
      <w:r w:rsidRPr="00F05FBE">
        <w:rPr>
          <w:rFonts w:ascii="Arial" w:hAnsi="Arial" w:cs="Arial"/>
        </w:rPr>
        <w:t>CPD: college certificate or evidence of relevant CPD, confirming with the relevant college if indicated.</w:t>
      </w:r>
    </w:p>
    <w:p w:rsidR="00F05FBE" w:rsidRPr="00F05FBE" w:rsidRDefault="00F05FBE" w:rsidP="00F05FBE">
      <w:pPr>
        <w:rPr>
          <w:rFonts w:ascii="Arial" w:hAnsi="Arial" w:cs="Arial"/>
          <w:sz w:val="20"/>
          <w:szCs w:val="20"/>
        </w:rPr>
      </w:pPr>
      <w:r w:rsidRPr="00F05FBE">
        <w:rPr>
          <w:rFonts w:ascii="Arial" w:hAnsi="Arial" w:cs="Arial"/>
          <w:sz w:val="20"/>
          <w:szCs w:val="20"/>
        </w:rPr>
        <w:t>The health service board, or the highest level of governance, is responsible for confirming that the requested changes fit with the needs and capability of the health service.</w:t>
      </w:r>
    </w:p>
    <w:p w:rsidR="003D6B00" w:rsidRDefault="00F05FBE" w:rsidP="00F05FBE">
      <w:pPr>
        <w:rPr>
          <w:rFonts w:ascii="Arial" w:hAnsi="Arial" w:cs="Arial"/>
          <w:sz w:val="20"/>
          <w:szCs w:val="20"/>
        </w:rPr>
      </w:pPr>
      <w:r w:rsidRPr="00F05FBE">
        <w:rPr>
          <w:rFonts w:ascii="Arial" w:hAnsi="Arial" w:cs="Arial"/>
          <w:sz w:val="20"/>
          <w:szCs w:val="20"/>
        </w:rPr>
        <w:t xml:space="preserve">In line with relevant capability frameworks, the scope of clinical practice of a senior medical practitioner at a health service may be reduced. </w:t>
      </w:r>
    </w:p>
    <w:p w:rsidR="003D6B00" w:rsidRDefault="003D6B00" w:rsidP="00F05FBE">
      <w:pPr>
        <w:rPr>
          <w:rFonts w:ascii="Arial" w:hAnsi="Arial" w:cs="Arial"/>
          <w:sz w:val="20"/>
          <w:szCs w:val="20"/>
        </w:rPr>
      </w:pPr>
    </w:p>
    <w:p w:rsidR="00F05FBE" w:rsidRDefault="00F05FBE" w:rsidP="00F05FBE">
      <w:pPr>
        <w:rPr>
          <w:rFonts w:ascii="Arial" w:hAnsi="Arial" w:cs="Arial"/>
          <w:sz w:val="20"/>
          <w:szCs w:val="20"/>
        </w:rPr>
      </w:pPr>
      <w:r w:rsidRPr="00F05FBE">
        <w:rPr>
          <w:rFonts w:ascii="Arial" w:hAnsi="Arial" w:cs="Arial"/>
          <w:sz w:val="20"/>
          <w:szCs w:val="20"/>
        </w:rPr>
        <w:t xml:space="preserve">The scope of clinical practice </w:t>
      </w:r>
      <w:proofErr w:type="gramStart"/>
      <w:r w:rsidRPr="00F05FBE">
        <w:rPr>
          <w:rFonts w:ascii="Arial" w:hAnsi="Arial" w:cs="Arial"/>
          <w:sz w:val="20"/>
          <w:szCs w:val="20"/>
        </w:rPr>
        <w:t>may also be reduced</w:t>
      </w:r>
      <w:proofErr w:type="gramEnd"/>
      <w:r w:rsidRPr="00F05FBE">
        <w:rPr>
          <w:rFonts w:ascii="Arial" w:hAnsi="Arial" w:cs="Arial"/>
          <w:sz w:val="20"/>
          <w:szCs w:val="20"/>
        </w:rPr>
        <w:t xml:space="preserve"> if, for example, underperformance has been identified, or if the </w:t>
      </w:r>
      <w:r w:rsidR="00713737">
        <w:rPr>
          <w:rFonts w:ascii="Arial" w:hAnsi="Arial" w:cs="Arial"/>
          <w:sz w:val="20"/>
          <w:szCs w:val="20"/>
        </w:rPr>
        <w:t>MAC and/or Hospital Senior Management</w:t>
      </w:r>
      <w:r w:rsidRPr="00F05FBE">
        <w:rPr>
          <w:rFonts w:ascii="Arial" w:hAnsi="Arial" w:cs="Arial"/>
          <w:sz w:val="20"/>
          <w:szCs w:val="20"/>
        </w:rPr>
        <w:t xml:space="preserve"> or the credentialing and scope of clinical practice committee (or equivalent) determine that the requirements for relevant CPD have not been met</w:t>
      </w:r>
      <w:r w:rsidR="00713737">
        <w:rPr>
          <w:rFonts w:ascii="Arial" w:hAnsi="Arial" w:cs="Arial"/>
          <w:sz w:val="20"/>
          <w:szCs w:val="20"/>
        </w:rPr>
        <w:t xml:space="preserve"> or the VP has not complied with these By-Laws</w:t>
      </w:r>
      <w:r w:rsidRPr="00F05FBE">
        <w:rPr>
          <w:rFonts w:ascii="Arial" w:hAnsi="Arial" w:cs="Arial"/>
          <w:sz w:val="20"/>
          <w:szCs w:val="20"/>
        </w:rPr>
        <w:t>.</w:t>
      </w:r>
    </w:p>
    <w:p w:rsidR="003D6B00" w:rsidRPr="00F05FBE" w:rsidRDefault="003D6B00" w:rsidP="00F05FBE">
      <w:pPr>
        <w:rPr>
          <w:rFonts w:ascii="Arial" w:hAnsi="Arial" w:cs="Arial"/>
          <w:sz w:val="20"/>
          <w:szCs w:val="20"/>
        </w:rPr>
      </w:pPr>
    </w:p>
    <w:p w:rsidR="00F05FBE" w:rsidRDefault="00F05FBE" w:rsidP="00F05FBE">
      <w:pPr>
        <w:rPr>
          <w:rFonts w:ascii="Arial" w:hAnsi="Arial" w:cs="Arial"/>
          <w:sz w:val="20"/>
          <w:szCs w:val="20"/>
        </w:rPr>
      </w:pPr>
      <w:r w:rsidRPr="00F05FBE">
        <w:rPr>
          <w:rFonts w:ascii="Arial" w:hAnsi="Arial" w:cs="Arial"/>
          <w:sz w:val="20"/>
          <w:szCs w:val="20"/>
        </w:rPr>
        <w:t xml:space="preserve">When this occurs, the </w:t>
      </w:r>
      <w:r w:rsidR="00713737">
        <w:rPr>
          <w:rFonts w:ascii="Arial" w:hAnsi="Arial" w:cs="Arial"/>
          <w:sz w:val="20"/>
          <w:szCs w:val="20"/>
        </w:rPr>
        <w:t>Hospital Director</w:t>
      </w:r>
      <w:r w:rsidRPr="00F05FBE">
        <w:rPr>
          <w:rFonts w:ascii="Arial" w:hAnsi="Arial" w:cs="Arial"/>
          <w:sz w:val="20"/>
          <w:szCs w:val="20"/>
        </w:rPr>
        <w:t xml:space="preserve"> (or highest level of governance) or the </w:t>
      </w:r>
      <w:r w:rsidR="00713737">
        <w:rPr>
          <w:rFonts w:ascii="Arial" w:hAnsi="Arial" w:cs="Arial"/>
          <w:sz w:val="20"/>
          <w:szCs w:val="20"/>
        </w:rPr>
        <w:t>Medical Advisory Committee (MAC)</w:t>
      </w:r>
      <w:r w:rsidRPr="00F05FBE">
        <w:rPr>
          <w:rFonts w:ascii="Arial" w:hAnsi="Arial" w:cs="Arial"/>
          <w:sz w:val="20"/>
          <w:szCs w:val="20"/>
        </w:rPr>
        <w:t xml:space="preserve">, must notify the practitioner in writing </w:t>
      </w:r>
      <w:r w:rsidR="00CB291F">
        <w:rPr>
          <w:rFonts w:ascii="Arial" w:hAnsi="Arial" w:cs="Arial"/>
          <w:sz w:val="20"/>
          <w:szCs w:val="20"/>
        </w:rPr>
        <w:t xml:space="preserve">and advise the VP of their future admitting rights and obligations, ideally with a minimum of four </w:t>
      </w:r>
      <w:proofErr w:type="spellStart"/>
      <w:r w:rsidR="00CB291F">
        <w:rPr>
          <w:rFonts w:ascii="Arial" w:hAnsi="Arial" w:cs="Arial"/>
          <w:sz w:val="20"/>
          <w:szCs w:val="20"/>
        </w:rPr>
        <w:t>weeks notice</w:t>
      </w:r>
      <w:proofErr w:type="spellEnd"/>
      <w:r w:rsidR="00CB291F">
        <w:rPr>
          <w:rFonts w:ascii="Arial" w:hAnsi="Arial" w:cs="Arial"/>
          <w:sz w:val="20"/>
          <w:szCs w:val="20"/>
        </w:rPr>
        <w:t>.</w:t>
      </w:r>
    </w:p>
    <w:p w:rsidR="003D6B00" w:rsidRPr="00F05FBE" w:rsidRDefault="003D6B00" w:rsidP="00F05FBE">
      <w:pPr>
        <w:rPr>
          <w:rFonts w:ascii="Arial" w:hAnsi="Arial" w:cs="Arial"/>
          <w:sz w:val="20"/>
          <w:szCs w:val="20"/>
        </w:rPr>
      </w:pPr>
    </w:p>
    <w:p w:rsidR="00F05FBE" w:rsidRPr="00F05FBE" w:rsidRDefault="00F05FBE" w:rsidP="00F05FBE">
      <w:pPr>
        <w:rPr>
          <w:rFonts w:ascii="Arial" w:hAnsi="Arial" w:cs="Arial"/>
          <w:sz w:val="20"/>
          <w:szCs w:val="20"/>
        </w:rPr>
      </w:pPr>
      <w:r w:rsidRPr="00F05FBE">
        <w:rPr>
          <w:rFonts w:ascii="Arial" w:hAnsi="Arial" w:cs="Arial"/>
          <w:sz w:val="20"/>
          <w:szCs w:val="20"/>
        </w:rPr>
        <w:t xml:space="preserve">A practitioner may wish to change to a subset of their current practice – that is, narrowing their scope of practice. They must formally advise the credentialing and scope of practice committee (or equivalent). The committee, together with the </w:t>
      </w:r>
      <w:r w:rsidR="00CB291F">
        <w:rPr>
          <w:rFonts w:ascii="Arial" w:hAnsi="Arial" w:cs="Arial"/>
          <w:sz w:val="20"/>
          <w:szCs w:val="20"/>
        </w:rPr>
        <w:t xml:space="preserve">hospital </w:t>
      </w:r>
      <w:r w:rsidRPr="00F05FBE">
        <w:rPr>
          <w:rFonts w:ascii="Arial" w:hAnsi="Arial" w:cs="Arial"/>
          <w:sz w:val="20"/>
          <w:szCs w:val="20"/>
        </w:rPr>
        <w:t xml:space="preserve">(or highest level of governance) must then consider the effects of the reduction on the </w:t>
      </w:r>
      <w:r w:rsidR="00CB291F">
        <w:rPr>
          <w:rFonts w:ascii="Arial" w:hAnsi="Arial" w:cs="Arial"/>
          <w:sz w:val="20"/>
          <w:szCs w:val="20"/>
        </w:rPr>
        <w:t xml:space="preserve">Hospital </w:t>
      </w:r>
      <w:proofErr w:type="gramStart"/>
      <w:r w:rsidR="00CB291F">
        <w:rPr>
          <w:rFonts w:ascii="Arial" w:hAnsi="Arial" w:cs="Arial"/>
          <w:sz w:val="20"/>
          <w:szCs w:val="20"/>
        </w:rPr>
        <w:t xml:space="preserve">Director </w:t>
      </w:r>
      <w:r w:rsidRPr="00F05FBE">
        <w:rPr>
          <w:rFonts w:ascii="Arial" w:hAnsi="Arial" w:cs="Arial"/>
          <w:sz w:val="20"/>
          <w:szCs w:val="20"/>
        </w:rPr>
        <w:t xml:space="preserve"> and</w:t>
      </w:r>
      <w:proofErr w:type="gramEnd"/>
      <w:r w:rsidRPr="00F05FBE">
        <w:rPr>
          <w:rFonts w:ascii="Arial" w:hAnsi="Arial" w:cs="Arial"/>
          <w:sz w:val="20"/>
          <w:szCs w:val="20"/>
        </w:rPr>
        <w:t xml:space="preserve"> decide if an alternative source of the previously provided services is required.</w:t>
      </w:r>
    </w:p>
    <w:p w:rsidR="003D6B00" w:rsidRDefault="003D6B00" w:rsidP="00F05FBE">
      <w:pPr>
        <w:rPr>
          <w:rFonts w:ascii="Arial" w:hAnsi="Arial" w:cs="Arial"/>
          <w:sz w:val="20"/>
          <w:szCs w:val="20"/>
        </w:rPr>
      </w:pPr>
    </w:p>
    <w:p w:rsidR="00E67EB6" w:rsidRPr="006F0D1B" w:rsidRDefault="00E67EB6" w:rsidP="00E67EB6">
      <w:pPr>
        <w:pStyle w:val="Header"/>
        <w:tabs>
          <w:tab w:val="clear" w:pos="4153"/>
          <w:tab w:val="clear" w:pos="8306"/>
        </w:tabs>
        <w:jc w:val="both"/>
        <w:rPr>
          <w:rFonts w:cs="Arial"/>
          <w:b/>
          <w:sz w:val="20"/>
          <w:szCs w:val="20"/>
          <w:u w:val="single"/>
        </w:rPr>
      </w:pPr>
      <w:r w:rsidRPr="006F0D1B">
        <w:rPr>
          <w:rFonts w:cs="Arial"/>
          <w:b/>
          <w:sz w:val="20"/>
          <w:szCs w:val="20"/>
          <w:u w:val="single"/>
        </w:rPr>
        <w:t>PROTOCOLS FOR MANAGING PATIENTS</w:t>
      </w:r>
      <w:r w:rsidR="006F0D1B" w:rsidRPr="006F0D1B">
        <w:rPr>
          <w:rFonts w:cs="Arial"/>
          <w:b/>
          <w:sz w:val="20"/>
          <w:szCs w:val="20"/>
          <w:u w:val="single"/>
        </w:rPr>
        <w:t xml:space="preserve"> - Medical</w:t>
      </w:r>
    </w:p>
    <w:p w:rsidR="00E53E0D" w:rsidRPr="006F0D1B" w:rsidRDefault="00E53E0D" w:rsidP="00E53E0D">
      <w:pPr>
        <w:pStyle w:val="Header"/>
        <w:tabs>
          <w:tab w:val="clear" w:pos="4153"/>
          <w:tab w:val="clear" w:pos="8306"/>
        </w:tabs>
        <w:jc w:val="both"/>
        <w:rPr>
          <w:rFonts w:cs="Arial"/>
          <w:sz w:val="20"/>
          <w:szCs w:val="20"/>
        </w:rPr>
      </w:pPr>
    </w:p>
    <w:p w:rsidR="007D62F9" w:rsidRPr="006F0D1B" w:rsidRDefault="00E67EB6" w:rsidP="00E67EB6">
      <w:pPr>
        <w:pStyle w:val="Header"/>
        <w:rPr>
          <w:rFonts w:cs="Arial"/>
          <w:sz w:val="20"/>
          <w:szCs w:val="20"/>
        </w:rPr>
      </w:pPr>
      <w:r w:rsidRPr="006F0D1B">
        <w:rPr>
          <w:rFonts w:cs="Arial"/>
          <w:sz w:val="20"/>
          <w:szCs w:val="20"/>
        </w:rPr>
        <w:t>This section MUST be read in conjunction with M</w:t>
      </w:r>
      <w:r w:rsidR="007D62F9" w:rsidRPr="006F0D1B">
        <w:rPr>
          <w:rFonts w:cs="Arial"/>
          <w:sz w:val="20"/>
          <w:szCs w:val="20"/>
        </w:rPr>
        <w:t xml:space="preserve">alvern </w:t>
      </w:r>
      <w:r w:rsidRPr="006F0D1B">
        <w:rPr>
          <w:rFonts w:cs="Arial"/>
          <w:sz w:val="20"/>
          <w:szCs w:val="20"/>
        </w:rPr>
        <w:t>P</w:t>
      </w:r>
      <w:r w:rsidR="007D62F9" w:rsidRPr="006F0D1B">
        <w:rPr>
          <w:rFonts w:cs="Arial"/>
          <w:sz w:val="20"/>
          <w:szCs w:val="20"/>
        </w:rPr>
        <w:t xml:space="preserve">rivate </w:t>
      </w:r>
      <w:r w:rsidRPr="006F0D1B">
        <w:rPr>
          <w:rFonts w:cs="Arial"/>
          <w:sz w:val="20"/>
          <w:szCs w:val="20"/>
        </w:rPr>
        <w:t>H</w:t>
      </w:r>
      <w:r w:rsidR="007D62F9" w:rsidRPr="006F0D1B">
        <w:rPr>
          <w:rFonts w:cs="Arial"/>
          <w:sz w:val="20"/>
          <w:szCs w:val="20"/>
        </w:rPr>
        <w:t xml:space="preserve">ospital’s governance and procedure manual </w:t>
      </w:r>
      <w:r w:rsidR="007D62F9" w:rsidRPr="006F0D1B">
        <w:rPr>
          <w:rFonts w:cs="Arial"/>
          <w:b/>
          <w:i/>
          <w:sz w:val="20"/>
          <w:szCs w:val="20"/>
        </w:rPr>
        <w:t xml:space="preserve">Medical Staff Roles and Responsibilities Policy and </w:t>
      </w:r>
      <w:r w:rsidR="006F0D1B" w:rsidRPr="006F0D1B">
        <w:rPr>
          <w:rFonts w:cs="Arial"/>
          <w:b/>
          <w:i/>
          <w:sz w:val="20"/>
          <w:szCs w:val="20"/>
        </w:rPr>
        <w:t xml:space="preserve">Procedure and Scope of Clinical Practice </w:t>
      </w:r>
      <w:r w:rsidRPr="006F0D1B">
        <w:rPr>
          <w:rFonts w:cs="Arial"/>
          <w:sz w:val="20"/>
          <w:szCs w:val="20"/>
        </w:rPr>
        <w:t xml:space="preserve"> </w:t>
      </w:r>
      <w:r w:rsidR="007D62F9" w:rsidRPr="006F0D1B">
        <w:rPr>
          <w:rFonts w:cs="Arial"/>
          <w:sz w:val="20"/>
          <w:szCs w:val="20"/>
        </w:rPr>
        <w:t>which streamlines the processes of medical reviews and articulate the roles and responsibilities of medical staff working at the facility.</w:t>
      </w:r>
    </w:p>
    <w:p w:rsidR="007D62F9" w:rsidRPr="006F0D1B" w:rsidRDefault="007D62F9" w:rsidP="00E67EB6">
      <w:pPr>
        <w:pStyle w:val="Header"/>
        <w:rPr>
          <w:rFonts w:cs="Arial"/>
          <w:sz w:val="20"/>
          <w:szCs w:val="20"/>
        </w:rPr>
      </w:pPr>
    </w:p>
    <w:p w:rsidR="00E67EB6" w:rsidRPr="006F0D1B" w:rsidRDefault="00E67EB6" w:rsidP="00E67EB6">
      <w:pPr>
        <w:pStyle w:val="Header"/>
        <w:rPr>
          <w:rFonts w:cs="Arial"/>
          <w:sz w:val="20"/>
          <w:szCs w:val="20"/>
        </w:rPr>
      </w:pPr>
      <w:r w:rsidRPr="006F0D1B">
        <w:rPr>
          <w:rFonts w:cs="Arial"/>
          <w:sz w:val="20"/>
          <w:szCs w:val="20"/>
        </w:rPr>
        <w:t>If Visiting Practitioners are not available in the case of any emergency, the hospital is authorised to take such action as is deemed necessary in the interest of the patient. This may include a request for attention by an available Visiting Practitioner or transfer to another hospital. In such cases the following provisions will apply:</w:t>
      </w:r>
    </w:p>
    <w:p w:rsidR="00E67EB6" w:rsidRPr="006F0D1B" w:rsidRDefault="00E67EB6" w:rsidP="00E67EB6">
      <w:pPr>
        <w:pStyle w:val="Header"/>
        <w:numPr>
          <w:ilvl w:val="0"/>
          <w:numId w:val="11"/>
        </w:numPr>
        <w:rPr>
          <w:rFonts w:cs="Arial"/>
          <w:sz w:val="20"/>
          <w:szCs w:val="20"/>
        </w:rPr>
      </w:pPr>
      <w:r w:rsidRPr="006F0D1B">
        <w:rPr>
          <w:rFonts w:cs="Arial"/>
          <w:sz w:val="20"/>
          <w:szCs w:val="20"/>
        </w:rPr>
        <w:t>The Registered Nurse will advise the Hospital Director or Clinical Services Manager of the action taken and the reason for this action.</w:t>
      </w:r>
    </w:p>
    <w:p w:rsidR="00E67EB6" w:rsidRPr="006F0D1B" w:rsidRDefault="00E67EB6" w:rsidP="00E67EB6">
      <w:pPr>
        <w:pStyle w:val="Header"/>
        <w:numPr>
          <w:ilvl w:val="0"/>
          <w:numId w:val="11"/>
        </w:numPr>
        <w:rPr>
          <w:rFonts w:cs="Arial"/>
          <w:sz w:val="20"/>
          <w:szCs w:val="20"/>
        </w:rPr>
      </w:pPr>
      <w:r w:rsidRPr="006F0D1B">
        <w:rPr>
          <w:rFonts w:cs="Arial"/>
          <w:sz w:val="20"/>
          <w:szCs w:val="20"/>
        </w:rPr>
        <w:t>The patient’s Visiting Practitioner will be advised of the circumstances and the action at the earliest possible opportunity.</w:t>
      </w:r>
    </w:p>
    <w:p w:rsidR="00E67EB6" w:rsidRPr="006F0D1B" w:rsidRDefault="00E67EB6" w:rsidP="00E67EB6">
      <w:pPr>
        <w:pStyle w:val="Header"/>
        <w:numPr>
          <w:ilvl w:val="0"/>
          <w:numId w:val="11"/>
        </w:numPr>
        <w:rPr>
          <w:rFonts w:cs="Arial"/>
          <w:sz w:val="20"/>
          <w:szCs w:val="20"/>
        </w:rPr>
      </w:pPr>
      <w:r w:rsidRPr="006F0D1B">
        <w:rPr>
          <w:rFonts w:cs="Arial"/>
          <w:sz w:val="20"/>
          <w:szCs w:val="20"/>
        </w:rPr>
        <w:t>The patient will be returned to the care of their Visiting Practitioner or his/her deputy as soon as he/she becomes available and subsequent action will depend on the nature of the emergency and the normal process of consultation.</w:t>
      </w:r>
    </w:p>
    <w:p w:rsidR="00E67EB6" w:rsidRDefault="00E67EB6" w:rsidP="00E53E0D">
      <w:pPr>
        <w:pStyle w:val="Header"/>
        <w:tabs>
          <w:tab w:val="clear" w:pos="4153"/>
          <w:tab w:val="clear" w:pos="8306"/>
        </w:tabs>
        <w:jc w:val="both"/>
        <w:rPr>
          <w:rFonts w:cs="Arial"/>
          <w:sz w:val="20"/>
          <w:szCs w:val="20"/>
        </w:rPr>
      </w:pPr>
    </w:p>
    <w:p w:rsidR="007F364D" w:rsidRPr="006F0D1B" w:rsidRDefault="007F364D" w:rsidP="00E53E0D">
      <w:pPr>
        <w:pStyle w:val="Header"/>
        <w:tabs>
          <w:tab w:val="clear" w:pos="4153"/>
          <w:tab w:val="clear" w:pos="8306"/>
        </w:tabs>
        <w:jc w:val="both"/>
        <w:rPr>
          <w:rFonts w:cs="Arial"/>
          <w:b/>
          <w:sz w:val="20"/>
          <w:szCs w:val="20"/>
          <w:u w:val="single"/>
        </w:rPr>
      </w:pPr>
      <w:r w:rsidRPr="006F0D1B">
        <w:rPr>
          <w:rFonts w:cs="Arial"/>
          <w:b/>
          <w:sz w:val="20"/>
          <w:szCs w:val="20"/>
          <w:u w:val="single"/>
        </w:rPr>
        <w:t>VP Scope of Practice</w:t>
      </w:r>
    </w:p>
    <w:p w:rsidR="007F364D" w:rsidRPr="006F0D1B" w:rsidRDefault="007F364D" w:rsidP="00E53E0D">
      <w:pPr>
        <w:pStyle w:val="Header"/>
        <w:tabs>
          <w:tab w:val="clear" w:pos="4153"/>
          <w:tab w:val="clear" w:pos="8306"/>
        </w:tabs>
        <w:jc w:val="both"/>
        <w:rPr>
          <w:rFonts w:cs="Arial"/>
          <w:sz w:val="20"/>
          <w:szCs w:val="20"/>
        </w:rPr>
      </w:pPr>
      <w:r w:rsidRPr="006F0D1B">
        <w:rPr>
          <w:rFonts w:cs="Arial"/>
          <w:sz w:val="20"/>
          <w:szCs w:val="20"/>
        </w:rPr>
        <w:t xml:space="preserve">It is essential that all VPs who have independent responsibility for patient care at MPH are appropriately credentialed and have their scope of clinical practice defined in accordance with their level of skill and experience, and the capability and need of </w:t>
      </w:r>
      <w:r w:rsidR="009B51DD" w:rsidRPr="006F0D1B">
        <w:rPr>
          <w:rFonts w:cs="Arial"/>
          <w:sz w:val="20"/>
          <w:szCs w:val="20"/>
        </w:rPr>
        <w:t xml:space="preserve">MPH. Defining the scope of practice follows on from credentialing and involves delineating the extent of an individual VP’s clinical practice within MPH, based on the individual’s credentials, competence, performance and professional suitability, and the needs and the capability of MPH to support the medical practitioner’s scope of clinical practice. </w:t>
      </w:r>
      <w:r w:rsidR="00741FCA" w:rsidRPr="006F0D1B">
        <w:rPr>
          <w:rFonts w:cs="Arial"/>
          <w:sz w:val="20"/>
          <w:szCs w:val="20"/>
        </w:rPr>
        <w:t xml:space="preserve">For a comprehensive guidance on scope of practice, these by-laws must be read in conjunction with the Department of Health and Human Services’ </w:t>
      </w:r>
      <w:r w:rsidR="00741FCA" w:rsidRPr="006F0D1B">
        <w:rPr>
          <w:rFonts w:cs="Arial"/>
          <w:b/>
          <w:i/>
          <w:sz w:val="20"/>
          <w:szCs w:val="20"/>
        </w:rPr>
        <w:t>Credentialing and defining the scope of clinical practice for medical practitioners</w:t>
      </w:r>
      <w:r w:rsidR="007E19FD" w:rsidRPr="006F0D1B">
        <w:rPr>
          <w:rFonts w:cs="Arial"/>
          <w:b/>
          <w:i/>
          <w:sz w:val="20"/>
          <w:szCs w:val="20"/>
        </w:rPr>
        <w:t xml:space="preserve"> (2011)</w:t>
      </w:r>
      <w:r w:rsidR="00741FCA" w:rsidRPr="006F0D1B">
        <w:rPr>
          <w:rFonts w:cs="Arial"/>
          <w:b/>
          <w:i/>
          <w:sz w:val="20"/>
          <w:szCs w:val="20"/>
        </w:rPr>
        <w:t xml:space="preserve"> </w:t>
      </w:r>
      <w:r w:rsidR="00741FCA" w:rsidRPr="006F0D1B">
        <w:rPr>
          <w:rFonts w:cs="Arial"/>
          <w:sz w:val="20"/>
          <w:szCs w:val="20"/>
        </w:rPr>
        <w:t xml:space="preserve">and </w:t>
      </w:r>
      <w:r w:rsidR="00741FCA" w:rsidRPr="006F0D1B">
        <w:rPr>
          <w:rFonts w:cs="Arial"/>
          <w:b/>
          <w:i/>
          <w:sz w:val="20"/>
          <w:szCs w:val="20"/>
        </w:rPr>
        <w:t>Partnering for performance – a performance development and support process for senior medical staff (Department of Health 2010).</w:t>
      </w:r>
      <w:r w:rsidR="00741FCA" w:rsidRPr="006F0D1B">
        <w:rPr>
          <w:rFonts w:cs="Arial"/>
          <w:sz w:val="20"/>
          <w:szCs w:val="20"/>
        </w:rPr>
        <w:t xml:space="preserve"> </w:t>
      </w:r>
      <w:r w:rsidR="004856DF" w:rsidRPr="006F0D1B">
        <w:rPr>
          <w:rFonts w:cs="Arial"/>
          <w:sz w:val="20"/>
          <w:szCs w:val="20"/>
        </w:rPr>
        <w:t>Links to the documents are here:</w:t>
      </w:r>
    </w:p>
    <w:p w:rsidR="004856DF" w:rsidRPr="006F0D1B" w:rsidRDefault="001002D6" w:rsidP="00E53E0D">
      <w:pPr>
        <w:pStyle w:val="Header"/>
        <w:tabs>
          <w:tab w:val="clear" w:pos="4153"/>
          <w:tab w:val="clear" w:pos="8306"/>
        </w:tabs>
        <w:jc w:val="both"/>
        <w:rPr>
          <w:rFonts w:cs="Arial"/>
          <w:sz w:val="20"/>
          <w:szCs w:val="20"/>
        </w:rPr>
      </w:pPr>
      <w:hyperlink r:id="rId11" w:history="1">
        <w:r w:rsidR="004856DF" w:rsidRPr="006F0D1B">
          <w:rPr>
            <w:rStyle w:val="Hyperlink"/>
            <w:rFonts w:cs="Arial"/>
            <w:sz w:val="20"/>
            <w:szCs w:val="20"/>
          </w:rPr>
          <w:t>https://www.safetyandquality.gov.au/wp-content/uploads/2012/01/credentl1.pdf</w:t>
        </w:r>
      </w:hyperlink>
    </w:p>
    <w:p w:rsidR="004856DF" w:rsidRPr="006F0D1B" w:rsidRDefault="004856DF" w:rsidP="00E53E0D">
      <w:pPr>
        <w:pStyle w:val="Header"/>
        <w:tabs>
          <w:tab w:val="clear" w:pos="4153"/>
          <w:tab w:val="clear" w:pos="8306"/>
        </w:tabs>
        <w:jc w:val="both"/>
        <w:rPr>
          <w:rFonts w:cs="Arial"/>
          <w:sz w:val="20"/>
          <w:szCs w:val="20"/>
        </w:rPr>
      </w:pPr>
    </w:p>
    <w:p w:rsidR="004856DF" w:rsidRPr="007F364D" w:rsidRDefault="004856DF" w:rsidP="00E53E0D">
      <w:pPr>
        <w:pStyle w:val="Header"/>
        <w:tabs>
          <w:tab w:val="clear" w:pos="4153"/>
          <w:tab w:val="clear" w:pos="8306"/>
        </w:tabs>
        <w:jc w:val="both"/>
        <w:rPr>
          <w:rFonts w:cs="Arial"/>
          <w:sz w:val="20"/>
          <w:szCs w:val="20"/>
        </w:rPr>
      </w:pPr>
      <w:r w:rsidRPr="006F0D1B">
        <w:rPr>
          <w:rFonts w:cs="Arial"/>
          <w:sz w:val="20"/>
          <w:szCs w:val="20"/>
        </w:rPr>
        <w:t>https://www2.health.vic.gov.au/about/publications/policiesandguidelines/partnering-performance</w:t>
      </w:r>
    </w:p>
    <w:p w:rsidR="007F364D" w:rsidRDefault="007F364D" w:rsidP="00E53E0D">
      <w:pPr>
        <w:pStyle w:val="Header"/>
        <w:tabs>
          <w:tab w:val="clear" w:pos="4153"/>
          <w:tab w:val="clear" w:pos="8306"/>
        </w:tabs>
        <w:jc w:val="both"/>
        <w:rPr>
          <w:rFonts w:cs="Arial"/>
          <w:b/>
          <w:sz w:val="20"/>
          <w:szCs w:val="20"/>
          <w:u w:val="single"/>
        </w:rPr>
      </w:pPr>
    </w:p>
    <w:p w:rsidR="00E53E0D" w:rsidRPr="00E53E0D" w:rsidRDefault="00E53E0D" w:rsidP="00E53E0D">
      <w:pPr>
        <w:pStyle w:val="Header"/>
        <w:tabs>
          <w:tab w:val="clear" w:pos="4153"/>
          <w:tab w:val="clear" w:pos="8306"/>
        </w:tabs>
        <w:jc w:val="both"/>
        <w:rPr>
          <w:rFonts w:cs="Arial"/>
          <w:b/>
          <w:sz w:val="20"/>
          <w:szCs w:val="20"/>
          <w:u w:val="single"/>
        </w:rPr>
      </w:pPr>
      <w:r w:rsidRPr="00E53E0D">
        <w:rPr>
          <w:rFonts w:cs="Arial"/>
          <w:b/>
          <w:sz w:val="20"/>
          <w:szCs w:val="20"/>
          <w:u w:val="single"/>
        </w:rPr>
        <w:t>CLINICAL INCIDENTS</w:t>
      </w:r>
      <w:r w:rsidR="005F50E8">
        <w:rPr>
          <w:rFonts w:cs="Arial"/>
          <w:b/>
          <w:sz w:val="20"/>
          <w:szCs w:val="20"/>
          <w:u w:val="single"/>
        </w:rPr>
        <w:t xml:space="preserve"> &amp;</w:t>
      </w:r>
      <w:r w:rsidRPr="00E53E0D">
        <w:rPr>
          <w:rFonts w:cs="Arial"/>
          <w:b/>
          <w:sz w:val="20"/>
          <w:szCs w:val="20"/>
          <w:u w:val="single"/>
        </w:rPr>
        <w:t xml:space="preserve"> VP</w:t>
      </w:r>
      <w:r w:rsidR="00CB291F">
        <w:rPr>
          <w:rFonts w:cs="Arial"/>
          <w:b/>
          <w:sz w:val="20"/>
          <w:szCs w:val="20"/>
          <w:u w:val="single"/>
        </w:rPr>
        <w:t>’</w:t>
      </w:r>
      <w:r w:rsidRPr="00E53E0D">
        <w:rPr>
          <w:rFonts w:cs="Arial"/>
          <w:b/>
          <w:sz w:val="20"/>
          <w:szCs w:val="20"/>
          <w:u w:val="single"/>
        </w:rPr>
        <w:t xml:space="preserve">S </w:t>
      </w:r>
    </w:p>
    <w:p w:rsidR="00E53E0D" w:rsidRPr="0098022F" w:rsidRDefault="00E53E0D" w:rsidP="00E53E0D">
      <w:pPr>
        <w:pStyle w:val="Header"/>
        <w:tabs>
          <w:tab w:val="clear" w:pos="4153"/>
          <w:tab w:val="clear" w:pos="8306"/>
        </w:tabs>
        <w:jc w:val="both"/>
        <w:rPr>
          <w:rFonts w:cs="Arial"/>
          <w:sz w:val="20"/>
          <w:szCs w:val="20"/>
        </w:rPr>
      </w:pPr>
      <w:r w:rsidRPr="0098022F">
        <w:rPr>
          <w:rFonts w:cs="Arial"/>
          <w:sz w:val="20"/>
          <w:szCs w:val="20"/>
        </w:rPr>
        <w:t xml:space="preserve">It is an obligation of VPs to cooperate fully in any Root Cause Analysis and college peer review such as CHASM </w:t>
      </w:r>
      <w:proofErr w:type="spellStart"/>
      <w:r w:rsidRPr="0098022F">
        <w:rPr>
          <w:rFonts w:cs="Arial"/>
          <w:sz w:val="20"/>
          <w:szCs w:val="20"/>
        </w:rPr>
        <w:t>etc</w:t>
      </w:r>
      <w:proofErr w:type="spellEnd"/>
      <w:r w:rsidRPr="0098022F">
        <w:rPr>
          <w:rFonts w:cs="Arial"/>
          <w:sz w:val="20"/>
          <w:szCs w:val="20"/>
        </w:rPr>
        <w:t xml:space="preserve"> if involved in such events </w:t>
      </w:r>
    </w:p>
    <w:p w:rsidR="0098022F" w:rsidRPr="0098022F" w:rsidRDefault="0098022F" w:rsidP="00E53E0D">
      <w:pPr>
        <w:pStyle w:val="Header"/>
        <w:tabs>
          <w:tab w:val="clear" w:pos="4153"/>
          <w:tab w:val="clear" w:pos="8306"/>
        </w:tabs>
        <w:jc w:val="both"/>
        <w:rPr>
          <w:rFonts w:cs="Arial"/>
          <w:sz w:val="20"/>
          <w:szCs w:val="20"/>
        </w:rPr>
      </w:pPr>
    </w:p>
    <w:p w:rsidR="00D30342" w:rsidRPr="00532975" w:rsidRDefault="00D30342" w:rsidP="00D30342">
      <w:pPr>
        <w:pStyle w:val="Header"/>
        <w:jc w:val="both"/>
        <w:rPr>
          <w:rFonts w:cs="Arial"/>
          <w:b/>
          <w:sz w:val="20"/>
          <w:szCs w:val="20"/>
          <w:u w:val="single"/>
        </w:rPr>
      </w:pPr>
      <w:r w:rsidRPr="00532975">
        <w:rPr>
          <w:rFonts w:cs="Arial"/>
          <w:b/>
          <w:sz w:val="20"/>
          <w:szCs w:val="20"/>
          <w:u w:val="single"/>
        </w:rPr>
        <w:t>VP HOSPITAL ASSISTANCE</w:t>
      </w:r>
    </w:p>
    <w:p w:rsidR="00D30342" w:rsidRPr="00532975" w:rsidRDefault="00D30342" w:rsidP="00D30342">
      <w:pPr>
        <w:pStyle w:val="Header"/>
        <w:numPr>
          <w:ilvl w:val="0"/>
          <w:numId w:val="12"/>
        </w:numPr>
        <w:tabs>
          <w:tab w:val="clear" w:pos="4153"/>
          <w:tab w:val="clear" w:pos="8306"/>
        </w:tabs>
        <w:ind w:right="-1"/>
        <w:jc w:val="both"/>
        <w:rPr>
          <w:rFonts w:cs="Arial"/>
          <w:sz w:val="20"/>
          <w:szCs w:val="20"/>
        </w:rPr>
      </w:pPr>
      <w:r w:rsidRPr="00532975">
        <w:rPr>
          <w:rFonts w:cs="Arial"/>
          <w:sz w:val="20"/>
          <w:szCs w:val="20"/>
        </w:rPr>
        <w:t>Our Hospital can only stay in the business of supporting Visiting Practitioners provided all Visiting Practitioners recognise their direct impact on the costs and staffing of the Hospital.  In so doing it is essential that Visiting Practitioners understand the method and amount of payment of rebates by Health Funds.</w:t>
      </w:r>
    </w:p>
    <w:p w:rsidR="00D30342" w:rsidRPr="00532975" w:rsidRDefault="00D30342" w:rsidP="00D30342">
      <w:pPr>
        <w:pStyle w:val="Header"/>
        <w:numPr>
          <w:ilvl w:val="0"/>
          <w:numId w:val="12"/>
        </w:numPr>
        <w:tabs>
          <w:tab w:val="clear" w:pos="4153"/>
          <w:tab w:val="clear" w:pos="8306"/>
        </w:tabs>
        <w:ind w:left="357" w:hanging="357"/>
        <w:jc w:val="both"/>
        <w:rPr>
          <w:rFonts w:cs="Arial"/>
          <w:sz w:val="20"/>
          <w:szCs w:val="20"/>
        </w:rPr>
      </w:pPr>
      <w:r w:rsidRPr="00532975">
        <w:rPr>
          <w:rFonts w:cs="Arial"/>
          <w:sz w:val="20"/>
          <w:szCs w:val="20"/>
        </w:rPr>
        <w:t>Risk Management is assured by improved prevention methods involving clinical, operational, communications and a good working understanding of Hospital pressures in all areas, not just legal issues.</w:t>
      </w:r>
    </w:p>
    <w:p w:rsidR="00D30342" w:rsidRPr="00532975" w:rsidRDefault="00D30342" w:rsidP="00D30342">
      <w:pPr>
        <w:pStyle w:val="Header"/>
        <w:numPr>
          <w:ilvl w:val="0"/>
          <w:numId w:val="12"/>
        </w:numPr>
        <w:tabs>
          <w:tab w:val="clear" w:pos="4153"/>
          <w:tab w:val="clear" w:pos="8306"/>
        </w:tabs>
        <w:ind w:left="357" w:hanging="357"/>
        <w:jc w:val="both"/>
        <w:rPr>
          <w:rFonts w:cs="Arial"/>
          <w:sz w:val="20"/>
          <w:szCs w:val="20"/>
        </w:rPr>
      </w:pPr>
      <w:r w:rsidRPr="00532975">
        <w:rPr>
          <w:rFonts w:cs="Arial"/>
          <w:sz w:val="20"/>
          <w:szCs w:val="20"/>
        </w:rPr>
        <w:t>Cost pressures can often be linked to Visiting Practitioner performance and attitudes.  Accordingly it is the responsibility of the Visiting Practitioner to always minimise costs where they can.  Suggestions to minimize costs are always appreciated and considered.</w:t>
      </w:r>
    </w:p>
    <w:p w:rsidR="00D30342" w:rsidRPr="00532975" w:rsidRDefault="00D30342" w:rsidP="00D30342">
      <w:pPr>
        <w:pStyle w:val="Header"/>
        <w:jc w:val="both"/>
        <w:rPr>
          <w:rFonts w:cs="Arial"/>
          <w:sz w:val="20"/>
          <w:szCs w:val="20"/>
        </w:rPr>
      </w:pPr>
    </w:p>
    <w:p w:rsidR="00D30342" w:rsidRPr="00532975" w:rsidRDefault="00D30342" w:rsidP="00D30342">
      <w:pPr>
        <w:pStyle w:val="Header"/>
        <w:jc w:val="both"/>
        <w:rPr>
          <w:rFonts w:cs="Arial"/>
          <w:b/>
          <w:sz w:val="20"/>
          <w:szCs w:val="20"/>
          <w:u w:val="single"/>
        </w:rPr>
      </w:pPr>
      <w:r w:rsidRPr="00532975">
        <w:rPr>
          <w:rFonts w:cs="Arial"/>
          <w:b/>
          <w:sz w:val="20"/>
          <w:szCs w:val="20"/>
          <w:u w:val="single"/>
        </w:rPr>
        <w:t>MEDICAL RECORDS/PATIENT HEALTH INFORMATION</w:t>
      </w:r>
    </w:p>
    <w:p w:rsidR="00D30342" w:rsidRPr="00532975" w:rsidRDefault="00D30342" w:rsidP="00D30342">
      <w:pPr>
        <w:pStyle w:val="Header"/>
        <w:numPr>
          <w:ilvl w:val="0"/>
          <w:numId w:val="14"/>
        </w:numPr>
        <w:tabs>
          <w:tab w:val="clear" w:pos="4153"/>
          <w:tab w:val="clear" w:pos="8306"/>
        </w:tabs>
        <w:ind w:left="357" w:hanging="357"/>
        <w:jc w:val="both"/>
        <w:rPr>
          <w:rFonts w:cs="Arial"/>
          <w:sz w:val="20"/>
          <w:szCs w:val="20"/>
        </w:rPr>
      </w:pPr>
      <w:r w:rsidRPr="00532975">
        <w:rPr>
          <w:rFonts w:cs="Arial"/>
          <w:sz w:val="20"/>
          <w:szCs w:val="20"/>
        </w:rPr>
        <w:t xml:space="preserve">The Hospital requires a certain standard of documentation in order to provide good and acceptable standards of patient care, and in order to meet Department of Health legal requirements. Visiting Practitioners are therefore expected to give high priority in this regard.  The provision of full and accurate details on and after admission of all aspects relevant to the care of patients including clinical history and to provide clear and accurate instructions regarding medication and treatment. Medical Orders must be </w:t>
      </w:r>
      <w:r w:rsidRPr="00532975">
        <w:rPr>
          <w:rFonts w:cs="Arial"/>
          <w:b/>
          <w:sz w:val="20"/>
          <w:szCs w:val="20"/>
          <w:u w:val="single"/>
        </w:rPr>
        <w:t>written legibly</w:t>
      </w:r>
      <w:r w:rsidRPr="00532975">
        <w:rPr>
          <w:rFonts w:cs="Arial"/>
          <w:sz w:val="20"/>
          <w:szCs w:val="20"/>
        </w:rPr>
        <w:t>, signed and dated, as required by the Hospital and by the Laws of the State.</w:t>
      </w:r>
    </w:p>
    <w:p w:rsidR="00D30342" w:rsidRPr="00532975" w:rsidRDefault="00D30342" w:rsidP="00D30342">
      <w:pPr>
        <w:pStyle w:val="Header"/>
        <w:numPr>
          <w:ilvl w:val="0"/>
          <w:numId w:val="14"/>
        </w:numPr>
        <w:tabs>
          <w:tab w:val="clear" w:pos="4153"/>
          <w:tab w:val="clear" w:pos="8306"/>
        </w:tabs>
        <w:ind w:left="357" w:hanging="357"/>
        <w:jc w:val="both"/>
        <w:rPr>
          <w:rFonts w:cs="Arial"/>
          <w:sz w:val="20"/>
          <w:szCs w:val="20"/>
        </w:rPr>
      </w:pPr>
      <w:r w:rsidRPr="00532975">
        <w:rPr>
          <w:rFonts w:cs="Arial"/>
          <w:sz w:val="20"/>
          <w:szCs w:val="20"/>
        </w:rPr>
        <w:t>All orders and instructions for treatment shall be given in writing. Telephone orders may be given by the Visiting Practitioner only to a Registered Nurse and repeated to a second responsible person who will confirm by reading back the order given. The order must be written up and signed on the correct medical record by the Visiting Practitioner within 24 hours.</w:t>
      </w:r>
    </w:p>
    <w:p w:rsidR="00D30342" w:rsidRPr="00532975" w:rsidRDefault="00D30342" w:rsidP="00D30342">
      <w:pPr>
        <w:pStyle w:val="Header"/>
        <w:numPr>
          <w:ilvl w:val="0"/>
          <w:numId w:val="14"/>
        </w:numPr>
        <w:tabs>
          <w:tab w:val="clear" w:pos="4153"/>
          <w:tab w:val="clear" w:pos="8306"/>
        </w:tabs>
        <w:ind w:left="357" w:hanging="357"/>
        <w:jc w:val="both"/>
        <w:rPr>
          <w:rFonts w:cs="Arial"/>
          <w:sz w:val="20"/>
          <w:szCs w:val="20"/>
        </w:rPr>
      </w:pPr>
      <w:r w:rsidRPr="00532975">
        <w:rPr>
          <w:rFonts w:cs="Arial"/>
          <w:sz w:val="20"/>
          <w:szCs w:val="20"/>
        </w:rPr>
        <w:t>Medical Records which are the property of the Hospital are to remain confidential. In so doing, it is recognised that the Visiting Practitioner attending the patient and the Hospital Staff will have constant access to these records.</w:t>
      </w:r>
    </w:p>
    <w:p w:rsidR="00D30342" w:rsidRDefault="00D30342" w:rsidP="00D30342">
      <w:pPr>
        <w:pStyle w:val="Header"/>
        <w:numPr>
          <w:ilvl w:val="0"/>
          <w:numId w:val="14"/>
        </w:numPr>
        <w:tabs>
          <w:tab w:val="clear" w:pos="4153"/>
          <w:tab w:val="clear" w:pos="8306"/>
        </w:tabs>
        <w:ind w:left="357" w:hanging="357"/>
        <w:jc w:val="both"/>
        <w:rPr>
          <w:rFonts w:cs="Arial"/>
          <w:sz w:val="20"/>
          <w:szCs w:val="20"/>
        </w:rPr>
      </w:pPr>
      <w:r w:rsidRPr="00532975">
        <w:rPr>
          <w:rFonts w:cs="Arial"/>
          <w:sz w:val="20"/>
          <w:szCs w:val="20"/>
        </w:rPr>
        <w:t xml:space="preserve">The patient has a legal right on written and duly signed application to view their medical records provided that such access in no way jeopardises the patient’s care nor interferes with, alters or defaces their medical records.  Patient may have access to their record if the Visiting Practitioner is agreeable.  The Doctor or Hospital Director must </w:t>
      </w:r>
      <w:proofErr w:type="gramStart"/>
      <w:r w:rsidRPr="00532975">
        <w:rPr>
          <w:rFonts w:cs="Arial"/>
          <w:sz w:val="20"/>
          <w:szCs w:val="20"/>
        </w:rPr>
        <w:t>be in attendance</w:t>
      </w:r>
      <w:proofErr w:type="gramEnd"/>
      <w:r w:rsidRPr="00532975">
        <w:rPr>
          <w:rFonts w:cs="Arial"/>
          <w:sz w:val="20"/>
          <w:szCs w:val="20"/>
        </w:rPr>
        <w:t xml:space="preserve"> to explain the records and then document procedure in patient’s file.  </w:t>
      </w:r>
    </w:p>
    <w:p w:rsidR="00CB291F" w:rsidRPr="00532975" w:rsidRDefault="00CB291F" w:rsidP="00D30342">
      <w:pPr>
        <w:pStyle w:val="Header"/>
        <w:numPr>
          <w:ilvl w:val="0"/>
          <w:numId w:val="14"/>
        </w:numPr>
        <w:tabs>
          <w:tab w:val="clear" w:pos="4153"/>
          <w:tab w:val="clear" w:pos="8306"/>
        </w:tabs>
        <w:ind w:left="357" w:hanging="357"/>
        <w:jc w:val="both"/>
        <w:rPr>
          <w:rFonts w:cs="Arial"/>
          <w:sz w:val="20"/>
          <w:szCs w:val="20"/>
        </w:rPr>
      </w:pPr>
      <w:r>
        <w:rPr>
          <w:rFonts w:cs="Arial"/>
          <w:sz w:val="20"/>
          <w:szCs w:val="20"/>
        </w:rPr>
        <w:t>Where certificates are required for any purpose then the Visiting Practitioner is obligated to complete them on time and ensure its contents match details in the patient medical record.</w:t>
      </w:r>
    </w:p>
    <w:p w:rsidR="00D30342" w:rsidRDefault="00D30342" w:rsidP="00D30342">
      <w:pPr>
        <w:pStyle w:val="Header"/>
        <w:jc w:val="both"/>
        <w:rPr>
          <w:rFonts w:cs="Arial"/>
          <w:sz w:val="20"/>
          <w:szCs w:val="20"/>
        </w:rPr>
      </w:pPr>
    </w:p>
    <w:p w:rsidR="00D30342" w:rsidRPr="00532975" w:rsidRDefault="00D30342" w:rsidP="00D30342">
      <w:pPr>
        <w:pStyle w:val="Header"/>
        <w:jc w:val="both"/>
        <w:rPr>
          <w:rFonts w:cs="Arial"/>
          <w:b/>
          <w:sz w:val="20"/>
          <w:szCs w:val="20"/>
          <w:u w:val="single"/>
        </w:rPr>
      </w:pPr>
    </w:p>
    <w:p w:rsidR="00D30342" w:rsidRPr="00532975" w:rsidRDefault="00D30342" w:rsidP="00D30342">
      <w:pPr>
        <w:pStyle w:val="Header"/>
        <w:jc w:val="both"/>
        <w:rPr>
          <w:rFonts w:cs="Arial"/>
          <w:b/>
          <w:sz w:val="20"/>
          <w:szCs w:val="20"/>
          <w:u w:val="single"/>
        </w:rPr>
      </w:pPr>
      <w:r w:rsidRPr="00532975">
        <w:rPr>
          <w:rFonts w:cs="Arial"/>
          <w:b/>
          <w:sz w:val="20"/>
          <w:szCs w:val="20"/>
          <w:u w:val="single"/>
        </w:rPr>
        <w:t>ETHICS</w:t>
      </w:r>
    </w:p>
    <w:p w:rsidR="00D30342" w:rsidRPr="00532975" w:rsidRDefault="00D30342" w:rsidP="00D30342">
      <w:pPr>
        <w:pStyle w:val="Header"/>
        <w:numPr>
          <w:ilvl w:val="0"/>
          <w:numId w:val="18"/>
        </w:numPr>
        <w:tabs>
          <w:tab w:val="clear" w:pos="4153"/>
          <w:tab w:val="clear" w:pos="8306"/>
        </w:tabs>
        <w:jc w:val="both"/>
        <w:rPr>
          <w:rFonts w:cs="Arial"/>
          <w:sz w:val="20"/>
          <w:szCs w:val="20"/>
        </w:rPr>
      </w:pPr>
      <w:r w:rsidRPr="00532975">
        <w:rPr>
          <w:rFonts w:cs="Arial"/>
          <w:sz w:val="20"/>
          <w:szCs w:val="20"/>
        </w:rPr>
        <w:t xml:space="preserve">The </w:t>
      </w:r>
      <w:r w:rsidR="00444024">
        <w:rPr>
          <w:rFonts w:cs="Arial"/>
          <w:sz w:val="20"/>
          <w:szCs w:val="20"/>
        </w:rPr>
        <w:t>Malvern</w:t>
      </w:r>
      <w:r w:rsidRPr="00532975">
        <w:rPr>
          <w:rFonts w:cs="Arial"/>
          <w:sz w:val="20"/>
          <w:szCs w:val="20"/>
        </w:rPr>
        <w:t xml:space="preserve"> Private Hospital is entitled to expect adequate and reasonable standards of personal competence and professional conduct from accredited Practitioners.</w:t>
      </w:r>
    </w:p>
    <w:p w:rsidR="00D30342" w:rsidRPr="006F3038" w:rsidRDefault="00D30342" w:rsidP="00D30342">
      <w:pPr>
        <w:pStyle w:val="Header"/>
        <w:numPr>
          <w:ilvl w:val="0"/>
          <w:numId w:val="18"/>
        </w:numPr>
        <w:tabs>
          <w:tab w:val="clear" w:pos="4153"/>
          <w:tab w:val="clear" w:pos="8306"/>
        </w:tabs>
        <w:ind w:left="357" w:hanging="357"/>
        <w:jc w:val="both"/>
        <w:rPr>
          <w:rFonts w:cs="Arial"/>
          <w:sz w:val="20"/>
          <w:szCs w:val="20"/>
        </w:rPr>
      </w:pPr>
      <w:r w:rsidRPr="00532975">
        <w:rPr>
          <w:rFonts w:cs="Arial"/>
          <w:sz w:val="20"/>
          <w:szCs w:val="20"/>
        </w:rPr>
        <w:t>It is expected that the Practitioner should adhere to the generally accepted ethics of professional, clinical practice both in relation to his/her colleagues and to the patients under his/her care and observe the general conditions of clinical practice acceptable in the hospital.</w:t>
      </w:r>
    </w:p>
    <w:p w:rsidR="00D30342" w:rsidRDefault="00D30342" w:rsidP="00D30342">
      <w:pPr>
        <w:pStyle w:val="Header"/>
        <w:jc w:val="both"/>
        <w:rPr>
          <w:rFonts w:cs="Arial"/>
          <w:b/>
          <w:sz w:val="20"/>
          <w:szCs w:val="20"/>
          <w:u w:val="single"/>
        </w:rPr>
      </w:pPr>
    </w:p>
    <w:p w:rsidR="00D30342" w:rsidRPr="00532975" w:rsidRDefault="00D30342" w:rsidP="00D30342">
      <w:pPr>
        <w:pStyle w:val="Header"/>
        <w:jc w:val="both"/>
        <w:rPr>
          <w:rFonts w:cs="Arial"/>
          <w:b/>
          <w:sz w:val="20"/>
          <w:szCs w:val="20"/>
        </w:rPr>
      </w:pPr>
      <w:r w:rsidRPr="00532975">
        <w:rPr>
          <w:rFonts w:cs="Arial"/>
          <w:b/>
          <w:sz w:val="20"/>
          <w:szCs w:val="20"/>
          <w:u w:val="single"/>
        </w:rPr>
        <w:t>CLINICAL REVIEW</w:t>
      </w:r>
    </w:p>
    <w:p w:rsidR="00D30342" w:rsidRPr="00532975" w:rsidRDefault="00D30342" w:rsidP="00D30342">
      <w:pPr>
        <w:pStyle w:val="Header"/>
        <w:jc w:val="both"/>
        <w:rPr>
          <w:rFonts w:cs="Arial"/>
          <w:sz w:val="20"/>
          <w:szCs w:val="20"/>
        </w:rPr>
      </w:pPr>
      <w:r w:rsidRPr="00532975">
        <w:rPr>
          <w:rFonts w:cs="Arial"/>
          <w:sz w:val="20"/>
          <w:szCs w:val="20"/>
        </w:rPr>
        <w:t xml:space="preserve">The </w:t>
      </w:r>
      <w:r w:rsidR="00444024">
        <w:rPr>
          <w:rFonts w:cs="Arial"/>
          <w:sz w:val="20"/>
          <w:szCs w:val="20"/>
        </w:rPr>
        <w:t>Malvern</w:t>
      </w:r>
      <w:r w:rsidRPr="00532975">
        <w:rPr>
          <w:rFonts w:cs="Arial"/>
          <w:sz w:val="20"/>
          <w:szCs w:val="20"/>
        </w:rPr>
        <w:t xml:space="preserve"> Private Hospital is committed to quality and thus has an ongoing program of clinical review, in the interests of maintaining institutional and/or professional standards. These processes involve Visiting Practitioners who may</w:t>
      </w:r>
      <w:r w:rsidR="005F50E8">
        <w:rPr>
          <w:rFonts w:cs="Arial"/>
          <w:sz w:val="20"/>
          <w:szCs w:val="20"/>
        </w:rPr>
        <w:t xml:space="preserve"> </w:t>
      </w:r>
      <w:r w:rsidRPr="00532975">
        <w:rPr>
          <w:rFonts w:cs="Arial"/>
          <w:sz w:val="20"/>
          <w:szCs w:val="20"/>
        </w:rPr>
        <w:t>be required</w:t>
      </w:r>
      <w:r w:rsidR="005F50E8">
        <w:rPr>
          <w:rFonts w:cs="Arial"/>
          <w:sz w:val="20"/>
          <w:szCs w:val="20"/>
        </w:rPr>
        <w:t xml:space="preserve"> to</w:t>
      </w:r>
      <w:r w:rsidRPr="00532975">
        <w:rPr>
          <w:rFonts w:cs="Arial"/>
          <w:sz w:val="20"/>
          <w:szCs w:val="20"/>
        </w:rPr>
        <w:t xml:space="preserve"> participat</w:t>
      </w:r>
      <w:r w:rsidR="005F50E8">
        <w:rPr>
          <w:rFonts w:cs="Arial"/>
          <w:sz w:val="20"/>
          <w:szCs w:val="20"/>
        </w:rPr>
        <w:t>e</w:t>
      </w:r>
      <w:r w:rsidRPr="00532975">
        <w:rPr>
          <w:rFonts w:cs="Arial"/>
          <w:sz w:val="20"/>
          <w:szCs w:val="20"/>
        </w:rPr>
        <w:t xml:space="preserve"> from time to time.</w:t>
      </w:r>
    </w:p>
    <w:p w:rsidR="00D30342" w:rsidRPr="00532975" w:rsidRDefault="00D30342" w:rsidP="00D30342">
      <w:pPr>
        <w:pStyle w:val="Header"/>
        <w:jc w:val="both"/>
        <w:rPr>
          <w:rFonts w:cs="Arial"/>
          <w:sz w:val="20"/>
          <w:szCs w:val="20"/>
        </w:rPr>
      </w:pPr>
    </w:p>
    <w:p w:rsidR="00D30342" w:rsidRPr="00532975" w:rsidRDefault="00D30342" w:rsidP="00D30342">
      <w:pPr>
        <w:pStyle w:val="Header"/>
        <w:jc w:val="both"/>
        <w:rPr>
          <w:rFonts w:cs="Arial"/>
          <w:sz w:val="20"/>
          <w:szCs w:val="20"/>
        </w:rPr>
      </w:pPr>
      <w:r w:rsidRPr="00532975">
        <w:rPr>
          <w:rFonts w:cs="Arial"/>
          <w:b/>
          <w:sz w:val="20"/>
          <w:szCs w:val="20"/>
          <w:u w:val="single"/>
        </w:rPr>
        <w:t>CONSENT</w:t>
      </w:r>
    </w:p>
    <w:p w:rsidR="00D30342" w:rsidRPr="00532975" w:rsidRDefault="00D30342" w:rsidP="00D30342">
      <w:pPr>
        <w:pStyle w:val="Header"/>
        <w:jc w:val="both"/>
        <w:rPr>
          <w:rFonts w:cs="Arial"/>
          <w:b/>
          <w:sz w:val="20"/>
          <w:szCs w:val="20"/>
        </w:rPr>
      </w:pPr>
      <w:r w:rsidRPr="00532975">
        <w:rPr>
          <w:rFonts w:cs="Arial"/>
          <w:b/>
          <w:sz w:val="20"/>
          <w:szCs w:val="20"/>
        </w:rPr>
        <w:t>Patient information and Consent to Medical Treatment</w:t>
      </w:r>
      <w:r>
        <w:rPr>
          <w:rFonts w:cs="Arial"/>
          <w:b/>
          <w:sz w:val="20"/>
          <w:szCs w:val="20"/>
        </w:rPr>
        <w:t xml:space="preserve"> </w:t>
      </w:r>
      <w:r w:rsidRPr="00532975">
        <w:rPr>
          <w:rFonts w:cs="Arial"/>
          <w:b/>
          <w:sz w:val="20"/>
          <w:szCs w:val="20"/>
        </w:rPr>
        <w:t>Policy Statement</w:t>
      </w:r>
    </w:p>
    <w:p w:rsidR="00D30342" w:rsidRPr="00532975" w:rsidRDefault="00D30342" w:rsidP="00D30342">
      <w:pPr>
        <w:pStyle w:val="Header"/>
        <w:numPr>
          <w:ilvl w:val="0"/>
          <w:numId w:val="16"/>
        </w:numPr>
        <w:tabs>
          <w:tab w:val="clear" w:pos="4153"/>
          <w:tab w:val="clear" w:pos="8306"/>
        </w:tabs>
        <w:jc w:val="both"/>
        <w:rPr>
          <w:rFonts w:cs="Arial"/>
          <w:sz w:val="20"/>
          <w:szCs w:val="20"/>
        </w:rPr>
      </w:pPr>
      <w:r w:rsidRPr="00532975">
        <w:rPr>
          <w:rFonts w:cs="Arial"/>
          <w:sz w:val="20"/>
          <w:szCs w:val="20"/>
        </w:rPr>
        <w:t>A patient needs to give written informed consent before undergoing a procedure or treatment – this is to avoid an action for assault and battery;</w:t>
      </w:r>
    </w:p>
    <w:p w:rsidR="00D30342" w:rsidRPr="00532975" w:rsidRDefault="00D30342" w:rsidP="00D30342">
      <w:pPr>
        <w:pStyle w:val="Header"/>
        <w:numPr>
          <w:ilvl w:val="0"/>
          <w:numId w:val="16"/>
        </w:numPr>
        <w:tabs>
          <w:tab w:val="clear" w:pos="4153"/>
          <w:tab w:val="clear" w:pos="8306"/>
        </w:tabs>
        <w:ind w:left="357" w:hanging="357"/>
        <w:jc w:val="both"/>
        <w:rPr>
          <w:rFonts w:cs="Arial"/>
          <w:sz w:val="20"/>
          <w:szCs w:val="20"/>
        </w:rPr>
      </w:pPr>
      <w:r w:rsidRPr="00532975">
        <w:rPr>
          <w:rFonts w:cs="Arial"/>
          <w:sz w:val="20"/>
          <w:szCs w:val="20"/>
        </w:rPr>
        <w:t>A patient needs to be informed of the material risks associated with a procedure or treatment – this is good practice, and a practitioner who fails to provide this information before a patient undergoes a procedure risks an action for negligence;</w:t>
      </w:r>
    </w:p>
    <w:p w:rsidR="00D30342" w:rsidRPr="006F0D1B" w:rsidRDefault="00D30342" w:rsidP="00D30342">
      <w:pPr>
        <w:pStyle w:val="Header"/>
        <w:numPr>
          <w:ilvl w:val="0"/>
          <w:numId w:val="16"/>
        </w:numPr>
        <w:tabs>
          <w:tab w:val="clear" w:pos="4153"/>
          <w:tab w:val="clear" w:pos="8306"/>
        </w:tabs>
        <w:ind w:left="357" w:hanging="357"/>
        <w:jc w:val="both"/>
        <w:rPr>
          <w:rFonts w:cs="Arial"/>
          <w:sz w:val="20"/>
          <w:szCs w:val="20"/>
        </w:rPr>
      </w:pPr>
      <w:r w:rsidRPr="006F0D1B">
        <w:rPr>
          <w:rFonts w:cs="Arial"/>
          <w:sz w:val="20"/>
          <w:szCs w:val="20"/>
        </w:rPr>
        <w:t>Responsibility for the above is the attending medical officer.  Administrative and Nursing Staff cannot be delegated the task of informing a patient about the material risk of an operation, procedure or treatment and obtaining consent;</w:t>
      </w:r>
    </w:p>
    <w:p w:rsidR="00D30342" w:rsidRPr="006F0D1B" w:rsidRDefault="00D30342" w:rsidP="00D30342">
      <w:pPr>
        <w:pStyle w:val="Header"/>
        <w:numPr>
          <w:ilvl w:val="0"/>
          <w:numId w:val="16"/>
        </w:numPr>
        <w:tabs>
          <w:tab w:val="clear" w:pos="4153"/>
          <w:tab w:val="clear" w:pos="8306"/>
        </w:tabs>
        <w:ind w:left="357" w:hanging="357"/>
        <w:jc w:val="both"/>
        <w:rPr>
          <w:rFonts w:cs="Arial"/>
          <w:sz w:val="20"/>
          <w:szCs w:val="20"/>
        </w:rPr>
      </w:pPr>
      <w:r w:rsidRPr="006F0D1B">
        <w:rPr>
          <w:rFonts w:cs="Arial"/>
          <w:sz w:val="20"/>
          <w:szCs w:val="20"/>
        </w:rPr>
        <w:t xml:space="preserve">No operation, procedure or treatment may be undertaken </w:t>
      </w:r>
      <w:r w:rsidRPr="006F0D1B">
        <w:rPr>
          <w:rFonts w:cs="Arial"/>
          <w:b/>
          <w:i/>
          <w:sz w:val="20"/>
          <w:szCs w:val="20"/>
        </w:rPr>
        <w:t>without</w:t>
      </w:r>
      <w:r w:rsidRPr="006F0D1B">
        <w:rPr>
          <w:rFonts w:cs="Arial"/>
          <w:sz w:val="20"/>
          <w:szCs w:val="20"/>
        </w:rPr>
        <w:t xml:space="preserve"> the consent of the patient.  Adequately informing patients and obtaining consent in regard to an operation, procedure or treatment is both a specific legal requirement and an accepted part of good medical practice.</w:t>
      </w:r>
    </w:p>
    <w:p w:rsidR="00D30342" w:rsidRPr="00532975" w:rsidRDefault="00D30342" w:rsidP="00D30342">
      <w:pPr>
        <w:pStyle w:val="Header"/>
        <w:jc w:val="both"/>
        <w:rPr>
          <w:rFonts w:cs="Arial"/>
          <w:b/>
          <w:sz w:val="20"/>
          <w:szCs w:val="20"/>
          <w:u w:val="single"/>
        </w:rPr>
      </w:pPr>
    </w:p>
    <w:p w:rsidR="00D30342" w:rsidRPr="00532975" w:rsidRDefault="00D30342" w:rsidP="00D30342">
      <w:pPr>
        <w:pStyle w:val="Header"/>
        <w:jc w:val="both"/>
        <w:rPr>
          <w:rFonts w:cs="Arial"/>
          <w:b/>
          <w:sz w:val="20"/>
          <w:szCs w:val="20"/>
        </w:rPr>
      </w:pPr>
      <w:r w:rsidRPr="00532975">
        <w:rPr>
          <w:rFonts w:cs="Arial"/>
          <w:b/>
          <w:sz w:val="20"/>
          <w:szCs w:val="20"/>
          <w:u w:val="single"/>
        </w:rPr>
        <w:t>‘VALID’ CONSENT</w:t>
      </w:r>
      <w:r w:rsidRPr="00532975">
        <w:rPr>
          <w:rFonts w:cs="Arial"/>
          <w:b/>
          <w:sz w:val="20"/>
          <w:szCs w:val="20"/>
        </w:rPr>
        <w:t>:</w:t>
      </w:r>
    </w:p>
    <w:p w:rsidR="00D30342" w:rsidRPr="00532975" w:rsidRDefault="00D30342" w:rsidP="00D30342">
      <w:pPr>
        <w:pStyle w:val="Header"/>
        <w:jc w:val="both"/>
        <w:rPr>
          <w:rFonts w:cs="Arial"/>
          <w:sz w:val="20"/>
          <w:szCs w:val="20"/>
        </w:rPr>
      </w:pPr>
      <w:r w:rsidRPr="00532975">
        <w:rPr>
          <w:rFonts w:cs="Arial"/>
          <w:sz w:val="20"/>
          <w:szCs w:val="20"/>
        </w:rPr>
        <w:t xml:space="preserve">The </w:t>
      </w:r>
      <w:r w:rsidR="00444024">
        <w:rPr>
          <w:rFonts w:cs="Arial"/>
          <w:sz w:val="20"/>
          <w:szCs w:val="20"/>
        </w:rPr>
        <w:t>Malvern</w:t>
      </w:r>
      <w:r w:rsidRPr="00532975">
        <w:rPr>
          <w:rFonts w:cs="Arial"/>
          <w:sz w:val="20"/>
          <w:szCs w:val="20"/>
        </w:rPr>
        <w:t xml:space="preserve"> Private Hospital's policy is that written consent using the standardised consent form is to be sought for </w:t>
      </w:r>
      <w:r w:rsidRPr="00532975">
        <w:rPr>
          <w:rFonts w:cs="Arial"/>
          <w:b/>
          <w:sz w:val="20"/>
          <w:szCs w:val="20"/>
        </w:rPr>
        <w:t>all</w:t>
      </w:r>
      <w:r w:rsidRPr="00532975">
        <w:rPr>
          <w:rFonts w:cs="Arial"/>
          <w:sz w:val="20"/>
          <w:szCs w:val="20"/>
        </w:rPr>
        <w:t xml:space="preserve"> </w:t>
      </w:r>
      <w:r w:rsidRPr="00532975">
        <w:rPr>
          <w:rFonts w:cs="Arial"/>
          <w:b/>
          <w:sz w:val="20"/>
          <w:szCs w:val="20"/>
        </w:rPr>
        <w:t>admissions</w:t>
      </w:r>
      <w:r w:rsidRPr="00532975">
        <w:rPr>
          <w:rFonts w:cs="Arial"/>
          <w:sz w:val="20"/>
          <w:szCs w:val="20"/>
        </w:rPr>
        <w:t>;</w:t>
      </w:r>
    </w:p>
    <w:p w:rsidR="00D30342" w:rsidRPr="00532975" w:rsidRDefault="00D30342" w:rsidP="00D30342">
      <w:pPr>
        <w:pStyle w:val="Header"/>
        <w:numPr>
          <w:ilvl w:val="0"/>
          <w:numId w:val="17"/>
        </w:numPr>
        <w:tabs>
          <w:tab w:val="clear" w:pos="4153"/>
          <w:tab w:val="clear" w:pos="8306"/>
        </w:tabs>
        <w:ind w:left="357" w:hanging="357"/>
        <w:jc w:val="both"/>
        <w:rPr>
          <w:rFonts w:cs="Arial"/>
          <w:sz w:val="20"/>
          <w:szCs w:val="20"/>
        </w:rPr>
      </w:pPr>
      <w:r w:rsidRPr="00532975">
        <w:rPr>
          <w:rFonts w:cs="Arial"/>
          <w:sz w:val="20"/>
          <w:szCs w:val="20"/>
        </w:rPr>
        <w:t>Any invasive procedures or treatment where there are known significant risks or complications;</w:t>
      </w:r>
    </w:p>
    <w:p w:rsidR="00D30342" w:rsidRPr="00532975" w:rsidRDefault="00D30342" w:rsidP="00D30342">
      <w:pPr>
        <w:pStyle w:val="Header"/>
        <w:numPr>
          <w:ilvl w:val="0"/>
          <w:numId w:val="17"/>
        </w:numPr>
        <w:tabs>
          <w:tab w:val="clear" w:pos="4153"/>
          <w:tab w:val="clear" w:pos="8306"/>
        </w:tabs>
        <w:ind w:left="357" w:hanging="357"/>
        <w:jc w:val="both"/>
        <w:rPr>
          <w:rFonts w:cs="Arial"/>
          <w:sz w:val="20"/>
          <w:szCs w:val="20"/>
        </w:rPr>
      </w:pPr>
      <w:r w:rsidRPr="00532975">
        <w:rPr>
          <w:rFonts w:cs="Arial"/>
          <w:sz w:val="20"/>
          <w:szCs w:val="20"/>
        </w:rPr>
        <w:t>Blood transfusions or the administration of blood products;</w:t>
      </w:r>
    </w:p>
    <w:p w:rsidR="00D30342" w:rsidRPr="00532975" w:rsidRDefault="00D30342" w:rsidP="00D30342">
      <w:pPr>
        <w:pStyle w:val="Header"/>
        <w:numPr>
          <w:ilvl w:val="0"/>
          <w:numId w:val="17"/>
        </w:numPr>
        <w:tabs>
          <w:tab w:val="clear" w:pos="4153"/>
          <w:tab w:val="clear" w:pos="8306"/>
        </w:tabs>
        <w:ind w:left="357" w:hanging="357"/>
        <w:jc w:val="both"/>
        <w:rPr>
          <w:rFonts w:cs="Arial"/>
          <w:sz w:val="20"/>
          <w:szCs w:val="20"/>
        </w:rPr>
      </w:pPr>
      <w:r w:rsidRPr="00532975">
        <w:rPr>
          <w:rFonts w:cs="Arial"/>
          <w:sz w:val="20"/>
          <w:szCs w:val="20"/>
        </w:rPr>
        <w:t>Clinical care requiring hospitalisation.</w:t>
      </w:r>
    </w:p>
    <w:p w:rsidR="00D30342" w:rsidRPr="00532975" w:rsidRDefault="00D30342" w:rsidP="00D30342">
      <w:pPr>
        <w:rPr>
          <w:rFonts w:ascii="Arial" w:hAnsi="Arial" w:cs="Arial"/>
          <w:sz w:val="20"/>
          <w:szCs w:val="20"/>
        </w:rPr>
      </w:pPr>
      <w:r w:rsidRPr="00532975">
        <w:rPr>
          <w:rFonts w:ascii="Arial" w:hAnsi="Arial" w:cs="Arial"/>
          <w:sz w:val="20"/>
          <w:szCs w:val="20"/>
        </w:rPr>
        <w:t xml:space="preserve">However, the </w:t>
      </w:r>
      <w:r w:rsidRPr="00532975">
        <w:rPr>
          <w:rFonts w:ascii="Arial" w:hAnsi="Arial" w:cs="Arial"/>
          <w:b/>
          <w:i/>
          <w:sz w:val="20"/>
          <w:szCs w:val="20"/>
        </w:rPr>
        <w:t>criteria for obtaining a valid consent must still be met</w:t>
      </w:r>
      <w:r w:rsidRPr="00532975">
        <w:rPr>
          <w:rFonts w:ascii="Arial" w:hAnsi="Arial" w:cs="Arial"/>
          <w:b/>
          <w:sz w:val="20"/>
          <w:szCs w:val="20"/>
        </w:rPr>
        <w:t xml:space="preserve">; </w:t>
      </w:r>
      <w:r w:rsidRPr="00532975">
        <w:rPr>
          <w:rFonts w:ascii="Arial" w:hAnsi="Arial" w:cs="Arial"/>
          <w:sz w:val="20"/>
          <w:szCs w:val="20"/>
        </w:rPr>
        <w:t>the procedure must still be explained to the patient which is supported by an entry in the clinical record – integrated notes.</w:t>
      </w:r>
    </w:p>
    <w:p w:rsidR="00D30342" w:rsidRPr="00532975" w:rsidRDefault="00D30342" w:rsidP="00D30342">
      <w:pPr>
        <w:rPr>
          <w:rFonts w:ascii="Arial" w:hAnsi="Arial" w:cs="Arial"/>
          <w:sz w:val="20"/>
          <w:szCs w:val="20"/>
        </w:rPr>
      </w:pPr>
    </w:p>
    <w:p w:rsidR="00D30342" w:rsidRPr="00532975" w:rsidRDefault="00D30342" w:rsidP="00D30342">
      <w:pPr>
        <w:pStyle w:val="Header"/>
        <w:jc w:val="both"/>
        <w:rPr>
          <w:rFonts w:cs="Arial"/>
          <w:b/>
          <w:sz w:val="20"/>
          <w:szCs w:val="20"/>
          <w:u w:val="single"/>
        </w:rPr>
      </w:pPr>
      <w:r w:rsidRPr="00532975">
        <w:rPr>
          <w:rFonts w:cs="Arial"/>
          <w:b/>
          <w:sz w:val="20"/>
          <w:szCs w:val="20"/>
          <w:u w:val="single"/>
        </w:rPr>
        <w:t>DISCLOSURE OF PECUNIARY INTERESTS</w:t>
      </w:r>
    </w:p>
    <w:p w:rsidR="00D30342" w:rsidRPr="00532975" w:rsidRDefault="00D30342" w:rsidP="00D30342">
      <w:pPr>
        <w:pStyle w:val="Header"/>
        <w:jc w:val="both"/>
        <w:rPr>
          <w:rFonts w:cs="Arial"/>
          <w:b/>
          <w:sz w:val="20"/>
          <w:szCs w:val="20"/>
        </w:rPr>
      </w:pPr>
    </w:p>
    <w:p w:rsidR="00D30342" w:rsidRPr="00532975" w:rsidRDefault="00D30342" w:rsidP="00D30342">
      <w:pPr>
        <w:pStyle w:val="Header"/>
        <w:jc w:val="both"/>
        <w:rPr>
          <w:rFonts w:cs="Arial"/>
          <w:sz w:val="20"/>
          <w:szCs w:val="20"/>
          <w:u w:val="single"/>
        </w:rPr>
      </w:pPr>
      <w:r w:rsidRPr="00532975">
        <w:rPr>
          <w:rFonts w:cs="Arial"/>
          <w:b/>
          <w:sz w:val="20"/>
          <w:szCs w:val="20"/>
          <w:u w:val="single"/>
        </w:rPr>
        <w:t>SPECIFIC DISCLOSURE</w:t>
      </w:r>
    </w:p>
    <w:p w:rsidR="00D30342" w:rsidRPr="00532975" w:rsidRDefault="00D30342" w:rsidP="00D30342">
      <w:pPr>
        <w:pStyle w:val="Header"/>
        <w:jc w:val="both"/>
        <w:rPr>
          <w:rFonts w:cs="Arial"/>
          <w:sz w:val="20"/>
          <w:szCs w:val="20"/>
        </w:rPr>
      </w:pPr>
      <w:r w:rsidRPr="00532975">
        <w:rPr>
          <w:rFonts w:cs="Arial"/>
          <w:sz w:val="20"/>
          <w:szCs w:val="20"/>
        </w:rPr>
        <w:t>A member of a Hospital Committee or a person authorised to attend any committee meeting who has a direct or indirect pecuniary interest:</w:t>
      </w:r>
    </w:p>
    <w:p w:rsidR="00D30342" w:rsidRPr="00532975" w:rsidRDefault="00D30342" w:rsidP="00D30342">
      <w:pPr>
        <w:pStyle w:val="Header"/>
        <w:jc w:val="both"/>
        <w:rPr>
          <w:rFonts w:cs="Arial"/>
          <w:sz w:val="20"/>
          <w:szCs w:val="20"/>
        </w:rPr>
      </w:pPr>
    </w:p>
    <w:p w:rsidR="00D30342" w:rsidRPr="00532975" w:rsidRDefault="00D30342" w:rsidP="00D30342">
      <w:pPr>
        <w:pStyle w:val="Header"/>
        <w:numPr>
          <w:ilvl w:val="0"/>
          <w:numId w:val="9"/>
        </w:numPr>
        <w:jc w:val="both"/>
        <w:rPr>
          <w:rFonts w:cs="Arial"/>
          <w:sz w:val="20"/>
          <w:szCs w:val="20"/>
        </w:rPr>
      </w:pPr>
      <w:r w:rsidRPr="00532975">
        <w:rPr>
          <w:rFonts w:cs="Arial"/>
          <w:sz w:val="20"/>
          <w:szCs w:val="20"/>
        </w:rPr>
        <w:t>In a matter that has been considered or is about to be considered at a meeting, or</w:t>
      </w:r>
    </w:p>
    <w:p w:rsidR="00D30342" w:rsidRPr="00532975" w:rsidRDefault="00D30342" w:rsidP="00D30342">
      <w:pPr>
        <w:pStyle w:val="Header"/>
        <w:numPr>
          <w:ilvl w:val="0"/>
          <w:numId w:val="9"/>
        </w:numPr>
        <w:jc w:val="both"/>
        <w:rPr>
          <w:rFonts w:cs="Arial"/>
          <w:sz w:val="20"/>
          <w:szCs w:val="20"/>
        </w:rPr>
      </w:pPr>
      <w:r w:rsidRPr="00532975">
        <w:rPr>
          <w:rFonts w:cs="Arial"/>
          <w:sz w:val="20"/>
          <w:szCs w:val="20"/>
        </w:rPr>
        <w:t>In a thing being done or about to be done by the Hospital.</w:t>
      </w:r>
    </w:p>
    <w:p w:rsidR="00D30342" w:rsidRPr="00532975" w:rsidRDefault="00D30342" w:rsidP="00D30342">
      <w:pPr>
        <w:pStyle w:val="Header"/>
        <w:jc w:val="both"/>
        <w:rPr>
          <w:rFonts w:cs="Arial"/>
          <w:sz w:val="20"/>
          <w:szCs w:val="20"/>
        </w:rPr>
      </w:pPr>
    </w:p>
    <w:p w:rsidR="00D30342" w:rsidRPr="00532975" w:rsidRDefault="00D30342" w:rsidP="00D30342">
      <w:pPr>
        <w:pStyle w:val="Header"/>
        <w:spacing w:before="120"/>
        <w:jc w:val="both"/>
        <w:rPr>
          <w:rFonts w:cs="Arial"/>
          <w:sz w:val="20"/>
          <w:szCs w:val="20"/>
        </w:rPr>
      </w:pPr>
      <w:r w:rsidRPr="00532975">
        <w:rPr>
          <w:rFonts w:cs="Arial"/>
          <w:sz w:val="20"/>
          <w:szCs w:val="20"/>
        </w:rPr>
        <w:t>Will as soon as possible after the relevant facts have come to the person’s knowledge, disclose the nature of the interest at the meeting.</w:t>
      </w:r>
    </w:p>
    <w:p w:rsidR="00D30342" w:rsidRPr="00532975" w:rsidRDefault="00D30342" w:rsidP="00D30342">
      <w:pPr>
        <w:pStyle w:val="Header"/>
        <w:jc w:val="both"/>
        <w:rPr>
          <w:rFonts w:cs="Arial"/>
          <w:b/>
          <w:sz w:val="20"/>
          <w:szCs w:val="20"/>
          <w:u w:val="single"/>
        </w:rPr>
      </w:pPr>
      <w:r w:rsidRPr="00532975">
        <w:rPr>
          <w:rFonts w:cs="Arial"/>
          <w:b/>
          <w:sz w:val="20"/>
          <w:szCs w:val="20"/>
          <w:u w:val="single"/>
        </w:rPr>
        <w:t>GENERAL DISCLOSURE</w:t>
      </w:r>
    </w:p>
    <w:p w:rsidR="00D30342" w:rsidRPr="00532975" w:rsidRDefault="00D30342" w:rsidP="00D30342">
      <w:pPr>
        <w:pStyle w:val="Header"/>
        <w:jc w:val="both"/>
        <w:rPr>
          <w:rFonts w:cs="Arial"/>
          <w:sz w:val="20"/>
          <w:szCs w:val="20"/>
        </w:rPr>
      </w:pPr>
      <w:r w:rsidRPr="00532975">
        <w:rPr>
          <w:rFonts w:cs="Arial"/>
          <w:sz w:val="20"/>
          <w:szCs w:val="20"/>
        </w:rPr>
        <w:t>A disclosure by a person at a meeting of the committee that the person:</w:t>
      </w:r>
    </w:p>
    <w:p w:rsidR="00D30342" w:rsidRPr="00532975" w:rsidRDefault="00D30342" w:rsidP="00D30342">
      <w:pPr>
        <w:pStyle w:val="Header"/>
        <w:jc w:val="both"/>
        <w:rPr>
          <w:rFonts w:cs="Arial"/>
          <w:sz w:val="20"/>
          <w:szCs w:val="20"/>
        </w:rPr>
      </w:pPr>
      <w:r w:rsidRPr="00532975">
        <w:rPr>
          <w:rFonts w:cs="Arial"/>
          <w:sz w:val="20"/>
          <w:szCs w:val="20"/>
        </w:rPr>
        <w:t>a) Is a member, or is in the employment of a specified company or other body,</w:t>
      </w:r>
    </w:p>
    <w:p w:rsidR="00D30342" w:rsidRPr="00532975" w:rsidRDefault="00D30342" w:rsidP="00D30342">
      <w:pPr>
        <w:pStyle w:val="Header"/>
        <w:jc w:val="both"/>
        <w:rPr>
          <w:rFonts w:cs="Arial"/>
          <w:sz w:val="20"/>
          <w:szCs w:val="20"/>
        </w:rPr>
      </w:pPr>
      <w:r w:rsidRPr="00532975">
        <w:rPr>
          <w:rFonts w:cs="Arial"/>
          <w:sz w:val="20"/>
          <w:szCs w:val="20"/>
        </w:rPr>
        <w:t>b) Is a partner, or is in the employment of a specified person; or</w:t>
      </w:r>
    </w:p>
    <w:p w:rsidR="00D30342" w:rsidRPr="00532975" w:rsidRDefault="00D30342" w:rsidP="00D30342">
      <w:pPr>
        <w:pStyle w:val="Header"/>
        <w:ind w:left="215" w:hanging="215"/>
        <w:jc w:val="both"/>
        <w:rPr>
          <w:rFonts w:cs="Arial"/>
          <w:sz w:val="20"/>
          <w:szCs w:val="20"/>
        </w:rPr>
      </w:pPr>
      <w:r w:rsidRPr="00532975">
        <w:rPr>
          <w:rFonts w:cs="Arial"/>
          <w:sz w:val="20"/>
          <w:szCs w:val="20"/>
        </w:rPr>
        <w:t>c) Has some other specified interest relating to a specified company or other body or a specified person,</w:t>
      </w:r>
    </w:p>
    <w:p w:rsidR="00D30342" w:rsidRPr="006F3038" w:rsidRDefault="00D30342" w:rsidP="00D30342">
      <w:pPr>
        <w:pStyle w:val="Header"/>
        <w:spacing w:before="120"/>
        <w:jc w:val="both"/>
        <w:rPr>
          <w:rFonts w:cs="Arial"/>
          <w:sz w:val="20"/>
          <w:szCs w:val="20"/>
        </w:rPr>
      </w:pPr>
      <w:r w:rsidRPr="00532975">
        <w:rPr>
          <w:rFonts w:cs="Arial"/>
          <w:sz w:val="20"/>
          <w:szCs w:val="20"/>
        </w:rPr>
        <w:t>Is a sufficient disclosure of the nature of the interest in any matter or thing relating to that company or other body or to that person which may arise after the date of disclosure.</w:t>
      </w:r>
    </w:p>
    <w:p w:rsidR="00D30342" w:rsidRPr="00532975" w:rsidRDefault="00D30342" w:rsidP="00D30342">
      <w:pPr>
        <w:pStyle w:val="Header"/>
        <w:jc w:val="both"/>
        <w:rPr>
          <w:rFonts w:cs="Arial"/>
          <w:b/>
          <w:sz w:val="20"/>
          <w:szCs w:val="20"/>
          <w:u w:val="single"/>
        </w:rPr>
      </w:pPr>
      <w:r w:rsidRPr="00532975">
        <w:rPr>
          <w:rFonts w:cs="Arial"/>
          <w:b/>
          <w:sz w:val="20"/>
          <w:szCs w:val="20"/>
          <w:u w:val="single"/>
        </w:rPr>
        <w:t>OPEN DISCLOSURE POLICY</w:t>
      </w:r>
    </w:p>
    <w:p w:rsidR="00D30342" w:rsidRPr="00532975" w:rsidRDefault="00D30342" w:rsidP="00D30342">
      <w:pPr>
        <w:pStyle w:val="Header"/>
        <w:jc w:val="both"/>
        <w:rPr>
          <w:rFonts w:cs="Arial"/>
          <w:sz w:val="20"/>
          <w:szCs w:val="20"/>
        </w:rPr>
      </w:pPr>
      <w:r w:rsidRPr="00532975">
        <w:rPr>
          <w:rFonts w:cs="Arial"/>
          <w:sz w:val="20"/>
          <w:szCs w:val="20"/>
        </w:rPr>
        <w:t xml:space="preserve">The </w:t>
      </w:r>
      <w:r w:rsidR="00444024">
        <w:rPr>
          <w:rFonts w:cs="Arial"/>
          <w:sz w:val="20"/>
          <w:szCs w:val="20"/>
        </w:rPr>
        <w:t>Malvern</w:t>
      </w:r>
      <w:r w:rsidRPr="00532975">
        <w:rPr>
          <w:rFonts w:cs="Arial"/>
          <w:sz w:val="20"/>
          <w:szCs w:val="20"/>
        </w:rPr>
        <w:t xml:space="preserve"> Private Hospital</w:t>
      </w:r>
      <w:r w:rsidR="00057C78">
        <w:rPr>
          <w:rFonts w:cs="Arial"/>
          <w:sz w:val="20"/>
          <w:szCs w:val="20"/>
        </w:rPr>
        <w:t>’</w:t>
      </w:r>
      <w:r w:rsidR="00CC5BB3">
        <w:rPr>
          <w:rFonts w:cs="Arial"/>
          <w:sz w:val="20"/>
          <w:szCs w:val="20"/>
        </w:rPr>
        <w:t>s</w:t>
      </w:r>
      <w:r w:rsidRPr="00532975">
        <w:rPr>
          <w:rFonts w:cs="Arial"/>
          <w:sz w:val="20"/>
          <w:szCs w:val="20"/>
        </w:rPr>
        <w:t xml:space="preserve"> Open Disclosure</w:t>
      </w:r>
      <w:r w:rsidR="00CC5BB3">
        <w:rPr>
          <w:rFonts w:cs="Arial"/>
          <w:sz w:val="20"/>
          <w:szCs w:val="20"/>
        </w:rPr>
        <w:t xml:space="preserve"> program</w:t>
      </w:r>
      <w:r w:rsidRPr="00532975">
        <w:rPr>
          <w:rFonts w:cs="Arial"/>
          <w:sz w:val="20"/>
          <w:szCs w:val="20"/>
        </w:rPr>
        <w:t xml:space="preserve"> is conducted as part of the risk management policy.  The Hospital Director through the </w:t>
      </w:r>
      <w:r w:rsidR="00CC5BB3">
        <w:rPr>
          <w:rFonts w:cs="Arial"/>
          <w:sz w:val="20"/>
          <w:szCs w:val="20"/>
        </w:rPr>
        <w:t>Senior Management</w:t>
      </w:r>
      <w:r w:rsidRPr="00532975">
        <w:rPr>
          <w:rFonts w:cs="Arial"/>
          <w:sz w:val="20"/>
          <w:szCs w:val="20"/>
        </w:rPr>
        <w:t xml:space="preserve"> Committee and Medical Advisory Committee formulates and authorises open disclosure communication and correspondence where warranted.  The elements of which may include:-</w:t>
      </w:r>
    </w:p>
    <w:p w:rsidR="00D30342" w:rsidRPr="00532975" w:rsidRDefault="00D30342" w:rsidP="00D30342">
      <w:pPr>
        <w:pStyle w:val="Header"/>
        <w:numPr>
          <w:ilvl w:val="1"/>
          <w:numId w:val="9"/>
        </w:numPr>
        <w:tabs>
          <w:tab w:val="clear" w:pos="4153"/>
          <w:tab w:val="clear" w:pos="8306"/>
          <w:tab w:val="left" w:pos="540"/>
          <w:tab w:val="left" w:pos="900"/>
        </w:tabs>
        <w:ind w:left="357" w:hanging="357"/>
        <w:rPr>
          <w:rFonts w:cs="Arial"/>
          <w:sz w:val="20"/>
          <w:szCs w:val="20"/>
        </w:rPr>
      </w:pPr>
      <w:r w:rsidRPr="00532975">
        <w:rPr>
          <w:rFonts w:cs="Arial"/>
          <w:sz w:val="20"/>
          <w:szCs w:val="20"/>
        </w:rPr>
        <w:t>A factual explanation of what happened.</w:t>
      </w:r>
    </w:p>
    <w:p w:rsidR="00D30342" w:rsidRPr="00532975" w:rsidRDefault="00D30342" w:rsidP="00D30342">
      <w:pPr>
        <w:pStyle w:val="Header"/>
        <w:numPr>
          <w:ilvl w:val="1"/>
          <w:numId w:val="9"/>
        </w:numPr>
        <w:tabs>
          <w:tab w:val="clear" w:pos="4153"/>
          <w:tab w:val="clear" w:pos="8306"/>
          <w:tab w:val="left" w:pos="540"/>
          <w:tab w:val="left" w:pos="900"/>
        </w:tabs>
        <w:ind w:left="357" w:hanging="357"/>
        <w:rPr>
          <w:rFonts w:cs="Arial"/>
          <w:sz w:val="20"/>
          <w:szCs w:val="20"/>
        </w:rPr>
      </w:pPr>
      <w:r w:rsidRPr="00532975">
        <w:rPr>
          <w:rFonts w:cs="Arial"/>
          <w:sz w:val="20"/>
          <w:szCs w:val="20"/>
        </w:rPr>
        <w:t>Consequences of the event, and</w:t>
      </w:r>
    </w:p>
    <w:p w:rsidR="00D30342" w:rsidRPr="00532975" w:rsidRDefault="00D30342" w:rsidP="00D30342">
      <w:pPr>
        <w:pStyle w:val="Header"/>
        <w:numPr>
          <w:ilvl w:val="1"/>
          <w:numId w:val="9"/>
        </w:numPr>
        <w:tabs>
          <w:tab w:val="clear" w:pos="4153"/>
          <w:tab w:val="clear" w:pos="8306"/>
          <w:tab w:val="left" w:pos="540"/>
          <w:tab w:val="left" w:pos="900"/>
        </w:tabs>
        <w:ind w:left="357" w:hanging="357"/>
        <w:rPr>
          <w:rFonts w:cs="Arial"/>
          <w:sz w:val="20"/>
          <w:szCs w:val="20"/>
        </w:rPr>
      </w:pPr>
      <w:r w:rsidRPr="00532975">
        <w:rPr>
          <w:rFonts w:cs="Arial"/>
          <w:sz w:val="20"/>
          <w:szCs w:val="20"/>
        </w:rPr>
        <w:t>Steps being taken to manage the event and prevent a recurrence.</w:t>
      </w:r>
    </w:p>
    <w:p w:rsidR="00D30342" w:rsidRPr="00532975" w:rsidRDefault="00D30342" w:rsidP="00D30342">
      <w:pPr>
        <w:pStyle w:val="Header"/>
        <w:numPr>
          <w:ilvl w:val="1"/>
          <w:numId w:val="9"/>
        </w:numPr>
        <w:tabs>
          <w:tab w:val="clear" w:pos="4153"/>
          <w:tab w:val="clear" w:pos="8306"/>
          <w:tab w:val="left" w:pos="540"/>
          <w:tab w:val="left" w:pos="900"/>
        </w:tabs>
        <w:ind w:left="357" w:hanging="357"/>
        <w:rPr>
          <w:rFonts w:cs="Arial"/>
          <w:sz w:val="20"/>
          <w:szCs w:val="20"/>
        </w:rPr>
      </w:pPr>
      <w:r w:rsidRPr="00532975">
        <w:rPr>
          <w:rFonts w:cs="Arial"/>
          <w:sz w:val="20"/>
          <w:szCs w:val="20"/>
        </w:rPr>
        <w:t xml:space="preserve">Medical Advisory Committee and </w:t>
      </w:r>
      <w:r w:rsidR="00CC5BB3">
        <w:rPr>
          <w:rFonts w:cs="Arial"/>
          <w:sz w:val="20"/>
          <w:szCs w:val="20"/>
        </w:rPr>
        <w:t>Senior Management Committee</w:t>
      </w:r>
    </w:p>
    <w:p w:rsidR="00D30342" w:rsidRDefault="00D30342" w:rsidP="00D30342">
      <w:pPr>
        <w:pStyle w:val="Header"/>
        <w:tabs>
          <w:tab w:val="clear" w:pos="4153"/>
          <w:tab w:val="clear" w:pos="8306"/>
          <w:tab w:val="left" w:pos="540"/>
          <w:tab w:val="left" w:pos="900"/>
        </w:tabs>
        <w:rPr>
          <w:rFonts w:cs="Arial"/>
          <w:sz w:val="20"/>
          <w:szCs w:val="20"/>
        </w:rPr>
      </w:pPr>
      <w:r w:rsidRPr="00532975">
        <w:rPr>
          <w:rFonts w:cs="Arial"/>
          <w:sz w:val="20"/>
          <w:szCs w:val="20"/>
        </w:rPr>
        <w:tab/>
        <w:t>Recommendations.</w:t>
      </w:r>
    </w:p>
    <w:p w:rsidR="009F43B3" w:rsidRPr="00532975" w:rsidRDefault="009F43B3" w:rsidP="00D30342">
      <w:pPr>
        <w:pStyle w:val="Header"/>
        <w:tabs>
          <w:tab w:val="clear" w:pos="4153"/>
          <w:tab w:val="clear" w:pos="8306"/>
          <w:tab w:val="left" w:pos="540"/>
          <w:tab w:val="left" w:pos="900"/>
        </w:tabs>
        <w:rPr>
          <w:rFonts w:cs="Arial"/>
          <w:sz w:val="20"/>
          <w:szCs w:val="20"/>
        </w:rPr>
      </w:pPr>
    </w:p>
    <w:p w:rsidR="009F43B3" w:rsidRPr="008325BF" w:rsidRDefault="00057C78" w:rsidP="009F43B3">
      <w:pPr>
        <w:pStyle w:val="Header"/>
        <w:jc w:val="both"/>
        <w:rPr>
          <w:rFonts w:cs="Arial"/>
          <w:sz w:val="20"/>
          <w:szCs w:val="20"/>
        </w:rPr>
      </w:pPr>
      <w:r w:rsidRPr="008325BF">
        <w:rPr>
          <w:rFonts w:cs="Arial"/>
          <w:sz w:val="20"/>
          <w:szCs w:val="20"/>
        </w:rPr>
        <w:t xml:space="preserve">Every Visiting Practitioner to Malvern Private Hospital MUST </w:t>
      </w:r>
      <w:r w:rsidR="009F43B3" w:rsidRPr="008325BF">
        <w:rPr>
          <w:rFonts w:cs="Arial"/>
          <w:sz w:val="20"/>
          <w:szCs w:val="20"/>
        </w:rPr>
        <w:t>be familiar with the latest guidelines on</w:t>
      </w:r>
      <w:r w:rsidRPr="008325BF">
        <w:rPr>
          <w:rFonts w:cs="Arial"/>
          <w:sz w:val="20"/>
          <w:szCs w:val="20"/>
        </w:rPr>
        <w:t xml:space="preserve"> Open Disclosure</w:t>
      </w:r>
      <w:r w:rsidR="009F43B3" w:rsidRPr="008325BF">
        <w:rPr>
          <w:rFonts w:cs="Arial"/>
          <w:sz w:val="20"/>
          <w:szCs w:val="20"/>
        </w:rPr>
        <w:t xml:space="preserve">. The latest document on this can be found here: </w:t>
      </w:r>
      <w:hyperlink r:id="rId12" w:history="1">
        <w:r w:rsidR="009F43B3" w:rsidRPr="008325BF">
          <w:rPr>
            <w:rStyle w:val="Hyperlink"/>
            <w:rFonts w:cs="Arial"/>
            <w:sz w:val="20"/>
            <w:szCs w:val="20"/>
          </w:rPr>
          <w:t>http://www.safetyandquality.gov.au/wp-content/uploads/2013/03/Australian-Open-Disclosure-Framework-Feb-2014.pdf</w:t>
        </w:r>
      </w:hyperlink>
    </w:p>
    <w:p w:rsidR="00D30342" w:rsidRPr="00532975" w:rsidRDefault="00057C78" w:rsidP="00D30342">
      <w:pPr>
        <w:pStyle w:val="Header"/>
        <w:jc w:val="both"/>
        <w:rPr>
          <w:rFonts w:cs="Arial"/>
          <w:sz w:val="20"/>
          <w:szCs w:val="20"/>
        </w:rPr>
      </w:pPr>
      <w:r>
        <w:rPr>
          <w:rFonts w:cs="Arial"/>
          <w:sz w:val="20"/>
          <w:szCs w:val="20"/>
        </w:rPr>
        <w:t xml:space="preserve"> </w:t>
      </w:r>
    </w:p>
    <w:p w:rsidR="00AE0509" w:rsidRPr="00532975" w:rsidRDefault="00AE0509" w:rsidP="00AE0509">
      <w:pPr>
        <w:pStyle w:val="Header"/>
        <w:jc w:val="both"/>
        <w:rPr>
          <w:rFonts w:cs="Arial"/>
          <w:b/>
          <w:sz w:val="20"/>
          <w:szCs w:val="20"/>
          <w:u w:val="single"/>
        </w:rPr>
      </w:pPr>
      <w:r>
        <w:rPr>
          <w:rFonts w:cs="Arial"/>
          <w:b/>
          <w:sz w:val="20"/>
          <w:szCs w:val="20"/>
          <w:u w:val="single"/>
        </w:rPr>
        <w:t>PERSONAL COMMUNICATIONS DEVICES (PCD)</w:t>
      </w:r>
    </w:p>
    <w:p w:rsidR="00D30342" w:rsidRDefault="00AE0509" w:rsidP="00AE0509">
      <w:pPr>
        <w:pStyle w:val="Header"/>
        <w:jc w:val="both"/>
        <w:rPr>
          <w:rFonts w:cs="Arial"/>
          <w:sz w:val="20"/>
          <w:szCs w:val="20"/>
        </w:rPr>
      </w:pPr>
      <w:r>
        <w:rPr>
          <w:rFonts w:cs="Arial"/>
          <w:sz w:val="20"/>
          <w:szCs w:val="20"/>
        </w:rPr>
        <w:t xml:space="preserve">In order to maximise patient care and safety, the use of PCD’s </w:t>
      </w:r>
      <w:r w:rsidR="00CB291F">
        <w:rPr>
          <w:rFonts w:cs="Arial"/>
          <w:sz w:val="20"/>
          <w:szCs w:val="20"/>
        </w:rPr>
        <w:t xml:space="preserve">in the hospital </w:t>
      </w:r>
      <w:r>
        <w:rPr>
          <w:rFonts w:cs="Arial"/>
          <w:sz w:val="20"/>
          <w:szCs w:val="20"/>
        </w:rPr>
        <w:t>must be limited while attending patients unless directly related to patient care.</w:t>
      </w:r>
    </w:p>
    <w:p w:rsidR="008325BF" w:rsidRDefault="008325BF" w:rsidP="00AE0509">
      <w:pPr>
        <w:pStyle w:val="Header"/>
        <w:jc w:val="both"/>
        <w:rPr>
          <w:rFonts w:cs="Arial"/>
          <w:sz w:val="20"/>
          <w:szCs w:val="20"/>
        </w:rPr>
      </w:pPr>
    </w:p>
    <w:p w:rsidR="008325BF" w:rsidRDefault="008325BF" w:rsidP="00AE0509">
      <w:pPr>
        <w:pStyle w:val="Header"/>
        <w:jc w:val="both"/>
        <w:rPr>
          <w:rFonts w:cs="Arial"/>
          <w:sz w:val="20"/>
          <w:szCs w:val="20"/>
        </w:rPr>
      </w:pPr>
    </w:p>
    <w:p w:rsidR="00AE0509" w:rsidRPr="008325BF" w:rsidRDefault="00AE0509" w:rsidP="00AE0509">
      <w:pPr>
        <w:pStyle w:val="ListParagraph"/>
        <w:ind w:left="0"/>
        <w:jc w:val="both"/>
        <w:rPr>
          <w:rFonts w:ascii="Arial" w:hAnsi="Arial" w:cs="Arial"/>
          <w:sz w:val="20"/>
          <w:szCs w:val="20"/>
          <w:u w:val="single"/>
        </w:rPr>
      </w:pPr>
      <w:r w:rsidRPr="008325BF">
        <w:rPr>
          <w:rFonts w:ascii="Arial" w:hAnsi="Arial" w:cs="Arial"/>
          <w:b/>
          <w:sz w:val="20"/>
          <w:szCs w:val="20"/>
          <w:u w:val="single"/>
        </w:rPr>
        <w:t>REQUESTING DRUGS, CONSUMABLES, EQUIPMENT AND OTHER SUPPLIES</w:t>
      </w:r>
      <w:r w:rsidRPr="008325BF">
        <w:rPr>
          <w:rFonts w:ascii="Arial" w:hAnsi="Arial" w:cs="Arial"/>
          <w:sz w:val="20"/>
          <w:szCs w:val="20"/>
          <w:u w:val="single"/>
        </w:rPr>
        <w:t xml:space="preserve"> </w:t>
      </w:r>
    </w:p>
    <w:p w:rsidR="00AE0509" w:rsidRPr="008325BF" w:rsidRDefault="00AE0509" w:rsidP="00AE0509">
      <w:pPr>
        <w:pStyle w:val="ListParagraph"/>
        <w:ind w:left="0"/>
        <w:jc w:val="both"/>
        <w:rPr>
          <w:rFonts w:ascii="Arial" w:hAnsi="Arial" w:cs="Arial"/>
          <w:sz w:val="20"/>
          <w:szCs w:val="20"/>
        </w:rPr>
      </w:pPr>
      <w:r w:rsidRPr="008325BF">
        <w:rPr>
          <w:rFonts w:ascii="Arial" w:hAnsi="Arial" w:cs="Arial"/>
          <w:sz w:val="20"/>
          <w:szCs w:val="20"/>
        </w:rPr>
        <w:t>There is a continuous change in availability of drugs, consumables, equipment and other supplies which are constantly requested by VPs. In order to control this, the VP must seek approval through hospital procedures for the introduction of new items. This is to prevent unnecessary cost burdens on the hospital without due consideration as to the merits of such a request.</w:t>
      </w:r>
    </w:p>
    <w:p w:rsidR="00E67EB6" w:rsidRPr="008325BF" w:rsidRDefault="00E67EB6" w:rsidP="00AE0509">
      <w:pPr>
        <w:pStyle w:val="ListParagraph"/>
        <w:ind w:left="0"/>
        <w:jc w:val="both"/>
        <w:rPr>
          <w:rFonts w:ascii="Arial" w:hAnsi="Arial" w:cs="Arial"/>
          <w:sz w:val="20"/>
          <w:szCs w:val="20"/>
        </w:rPr>
      </w:pPr>
    </w:p>
    <w:p w:rsidR="00E67EB6" w:rsidRPr="008325BF" w:rsidRDefault="00E67EB6" w:rsidP="00AE0509">
      <w:pPr>
        <w:pStyle w:val="ListParagraph"/>
        <w:ind w:left="0"/>
        <w:jc w:val="both"/>
        <w:rPr>
          <w:rFonts w:ascii="Arial" w:hAnsi="Arial" w:cs="Arial"/>
          <w:sz w:val="20"/>
          <w:szCs w:val="20"/>
          <w:lang w:val="en-AU"/>
        </w:rPr>
      </w:pPr>
      <w:r w:rsidRPr="008325BF">
        <w:rPr>
          <w:rFonts w:ascii="Arial" w:hAnsi="Arial" w:cs="Arial"/>
          <w:b/>
          <w:sz w:val="20"/>
          <w:szCs w:val="20"/>
          <w:u w:val="single"/>
          <w:lang w:val="en-AU"/>
        </w:rPr>
        <w:t>On-CALL ROSTER</w:t>
      </w:r>
      <w:r w:rsidRPr="008325BF">
        <w:rPr>
          <w:rFonts w:ascii="Arial" w:hAnsi="Arial" w:cs="Arial"/>
          <w:sz w:val="20"/>
          <w:szCs w:val="20"/>
          <w:lang w:val="en-AU"/>
        </w:rPr>
        <w:t xml:space="preserve"> </w:t>
      </w:r>
    </w:p>
    <w:p w:rsidR="00E67EB6" w:rsidRDefault="00E67EB6" w:rsidP="00AE0509">
      <w:pPr>
        <w:pStyle w:val="ListParagraph"/>
        <w:ind w:left="0"/>
        <w:jc w:val="both"/>
        <w:rPr>
          <w:rFonts w:cs="Arial"/>
          <w:sz w:val="20"/>
          <w:szCs w:val="20"/>
        </w:rPr>
      </w:pPr>
      <w:r w:rsidRPr="008325BF">
        <w:rPr>
          <w:rFonts w:ascii="Arial" w:hAnsi="Arial" w:cs="Arial"/>
          <w:sz w:val="20"/>
          <w:szCs w:val="20"/>
          <w:lang w:val="en-AU"/>
        </w:rPr>
        <w:t xml:space="preserve">All </w:t>
      </w:r>
      <w:r w:rsidR="00CB291F">
        <w:rPr>
          <w:rFonts w:ascii="Arial" w:hAnsi="Arial" w:cs="Arial"/>
          <w:sz w:val="20"/>
          <w:szCs w:val="20"/>
          <w:lang w:val="en-AU"/>
        </w:rPr>
        <w:t>VP’s</w:t>
      </w:r>
      <w:r w:rsidRPr="008325BF">
        <w:rPr>
          <w:rFonts w:ascii="Arial" w:hAnsi="Arial" w:cs="Arial"/>
          <w:sz w:val="20"/>
          <w:szCs w:val="20"/>
          <w:lang w:val="en-AU"/>
        </w:rPr>
        <w:t xml:space="preserve"> </w:t>
      </w:r>
      <w:proofErr w:type="gramStart"/>
      <w:r w:rsidRPr="008325BF">
        <w:rPr>
          <w:rFonts w:ascii="Arial" w:hAnsi="Arial" w:cs="Arial"/>
          <w:sz w:val="20"/>
          <w:szCs w:val="20"/>
          <w:lang w:val="en-AU"/>
        </w:rPr>
        <w:t>are expected</w:t>
      </w:r>
      <w:proofErr w:type="gramEnd"/>
      <w:r w:rsidRPr="008325BF">
        <w:rPr>
          <w:rFonts w:ascii="Arial" w:hAnsi="Arial" w:cs="Arial"/>
          <w:sz w:val="20"/>
          <w:szCs w:val="20"/>
          <w:lang w:val="en-AU"/>
        </w:rPr>
        <w:t xml:space="preserve"> to make themselves available for the on-call roster</w:t>
      </w:r>
      <w:r w:rsidR="00CB291F">
        <w:rPr>
          <w:rFonts w:ascii="Arial" w:hAnsi="Arial" w:cs="Arial"/>
          <w:sz w:val="20"/>
          <w:szCs w:val="20"/>
          <w:lang w:val="en-AU"/>
        </w:rPr>
        <w:t xml:space="preserve"> if required</w:t>
      </w:r>
      <w:r w:rsidRPr="008325BF">
        <w:rPr>
          <w:rFonts w:ascii="Arial" w:hAnsi="Arial" w:cs="Arial"/>
          <w:sz w:val="20"/>
          <w:szCs w:val="20"/>
          <w:lang w:val="en-AU"/>
        </w:rPr>
        <w:t>. If the doctor is unavailable for a scheduled shift, it is their responsibility to ensure an alternate doctor is available. For guidance on the allocation of admission, attending and after hours on-call duties</w:t>
      </w:r>
      <w:r w:rsidR="00CB291F">
        <w:rPr>
          <w:rFonts w:ascii="Arial" w:hAnsi="Arial" w:cs="Arial"/>
          <w:sz w:val="20"/>
          <w:szCs w:val="20"/>
          <w:lang w:val="en-AU"/>
        </w:rPr>
        <w:t xml:space="preserve">.  </w:t>
      </w:r>
    </w:p>
    <w:p w:rsidR="009C29E9" w:rsidRPr="00532975" w:rsidRDefault="009C29E9" w:rsidP="009C29E9">
      <w:pPr>
        <w:pStyle w:val="Header"/>
        <w:jc w:val="both"/>
        <w:rPr>
          <w:rFonts w:cs="Arial"/>
          <w:b/>
          <w:sz w:val="20"/>
          <w:szCs w:val="20"/>
          <w:u w:val="single"/>
        </w:rPr>
      </w:pPr>
      <w:r w:rsidRPr="00532975">
        <w:rPr>
          <w:rFonts w:cs="Arial"/>
          <w:b/>
          <w:sz w:val="20"/>
          <w:szCs w:val="20"/>
          <w:u w:val="single"/>
        </w:rPr>
        <w:t>APPEALS MECHANISM / SUSPENSION OF RIGHT TO PRACTICE</w:t>
      </w:r>
    </w:p>
    <w:p w:rsidR="009C29E9" w:rsidRPr="00532975" w:rsidRDefault="009C29E9" w:rsidP="009C29E9">
      <w:pPr>
        <w:pStyle w:val="Header"/>
        <w:numPr>
          <w:ilvl w:val="0"/>
          <w:numId w:val="7"/>
        </w:numPr>
        <w:tabs>
          <w:tab w:val="clear" w:pos="4153"/>
          <w:tab w:val="clear" w:pos="8306"/>
        </w:tabs>
        <w:ind w:left="357" w:hanging="357"/>
        <w:jc w:val="both"/>
        <w:rPr>
          <w:rFonts w:cs="Arial"/>
          <w:sz w:val="20"/>
          <w:szCs w:val="20"/>
        </w:rPr>
      </w:pPr>
      <w:r w:rsidRPr="00532975">
        <w:rPr>
          <w:rFonts w:cs="Arial"/>
          <w:sz w:val="20"/>
          <w:szCs w:val="20"/>
        </w:rPr>
        <w:t>Any Visiting Practitioner may appeal or request review of status, with regard to visiting rights and clinical privileges. Such a review will be conducted by the Senior Management Committee assisted by the Medical Advisory Committee.  The Senior Management Committee may also refer to other bodies or parties. Any request for review should be directed to the Chairman of the MAC.  Organisations may suspend a medical practitioner’s right to practice for various reasons such as:-</w:t>
      </w:r>
    </w:p>
    <w:p w:rsidR="009C29E9" w:rsidRPr="00532975" w:rsidRDefault="009C29E9" w:rsidP="009C29E9">
      <w:pPr>
        <w:pStyle w:val="Header"/>
        <w:numPr>
          <w:ilvl w:val="0"/>
          <w:numId w:val="8"/>
        </w:numPr>
        <w:tabs>
          <w:tab w:val="clear" w:pos="4153"/>
          <w:tab w:val="clear" w:pos="8306"/>
        </w:tabs>
        <w:jc w:val="both"/>
        <w:rPr>
          <w:rFonts w:cs="Arial"/>
          <w:sz w:val="20"/>
          <w:szCs w:val="20"/>
        </w:rPr>
      </w:pPr>
      <w:r w:rsidRPr="00532975">
        <w:rPr>
          <w:rFonts w:cs="Arial"/>
          <w:sz w:val="20"/>
          <w:szCs w:val="20"/>
        </w:rPr>
        <w:t>Changes in the organisation’s ability to provide support services;</w:t>
      </w:r>
    </w:p>
    <w:p w:rsidR="009C29E9" w:rsidRPr="00532975" w:rsidRDefault="009C29E9" w:rsidP="009C29E9">
      <w:pPr>
        <w:pStyle w:val="Header"/>
        <w:numPr>
          <w:ilvl w:val="0"/>
          <w:numId w:val="8"/>
        </w:numPr>
        <w:tabs>
          <w:tab w:val="clear" w:pos="4153"/>
          <w:tab w:val="clear" w:pos="8306"/>
        </w:tabs>
        <w:jc w:val="both"/>
        <w:rPr>
          <w:rFonts w:cs="Arial"/>
          <w:sz w:val="20"/>
          <w:szCs w:val="20"/>
        </w:rPr>
      </w:pPr>
      <w:r w:rsidRPr="00532975">
        <w:rPr>
          <w:rFonts w:cs="Arial"/>
          <w:sz w:val="20"/>
          <w:szCs w:val="20"/>
        </w:rPr>
        <w:t>Changes in the service needs of the organisation; or</w:t>
      </w:r>
    </w:p>
    <w:p w:rsidR="009C29E9" w:rsidRPr="00532975" w:rsidRDefault="009C29E9" w:rsidP="009C29E9">
      <w:pPr>
        <w:pStyle w:val="Header"/>
        <w:numPr>
          <w:ilvl w:val="0"/>
          <w:numId w:val="8"/>
        </w:numPr>
        <w:tabs>
          <w:tab w:val="clear" w:pos="4153"/>
          <w:tab w:val="clear" w:pos="8306"/>
        </w:tabs>
        <w:jc w:val="both"/>
        <w:rPr>
          <w:rFonts w:cs="Arial"/>
          <w:sz w:val="20"/>
          <w:szCs w:val="20"/>
        </w:rPr>
      </w:pPr>
      <w:r w:rsidRPr="00532975">
        <w:rPr>
          <w:rFonts w:cs="Arial"/>
          <w:sz w:val="20"/>
          <w:szCs w:val="20"/>
        </w:rPr>
        <w:t>Concerns about the medical practitioner’s performance or competence.</w:t>
      </w:r>
    </w:p>
    <w:p w:rsidR="009C29E9" w:rsidRPr="00532975" w:rsidRDefault="009C29E9" w:rsidP="009C29E9">
      <w:pPr>
        <w:pStyle w:val="Header"/>
        <w:numPr>
          <w:ilvl w:val="0"/>
          <w:numId w:val="8"/>
        </w:numPr>
        <w:tabs>
          <w:tab w:val="clear" w:pos="4153"/>
          <w:tab w:val="clear" w:pos="8306"/>
        </w:tabs>
        <w:jc w:val="both"/>
        <w:rPr>
          <w:rFonts w:cs="Arial"/>
          <w:sz w:val="20"/>
          <w:szCs w:val="20"/>
        </w:rPr>
      </w:pPr>
      <w:r w:rsidRPr="00532975">
        <w:rPr>
          <w:rFonts w:cs="Arial"/>
          <w:sz w:val="20"/>
          <w:szCs w:val="20"/>
        </w:rPr>
        <w:t>A suspension may be temporary or permanent and may take effect in part or in whole.</w:t>
      </w:r>
    </w:p>
    <w:p w:rsidR="009C29E9" w:rsidRPr="00532975" w:rsidRDefault="009C29E9" w:rsidP="009C29E9">
      <w:pPr>
        <w:pStyle w:val="Header"/>
        <w:numPr>
          <w:ilvl w:val="0"/>
          <w:numId w:val="7"/>
        </w:numPr>
        <w:tabs>
          <w:tab w:val="clear" w:pos="4153"/>
          <w:tab w:val="clear" w:pos="8306"/>
        </w:tabs>
        <w:ind w:left="357" w:hanging="357"/>
        <w:jc w:val="both"/>
        <w:rPr>
          <w:rFonts w:cs="Arial"/>
          <w:sz w:val="20"/>
          <w:szCs w:val="20"/>
        </w:rPr>
      </w:pPr>
      <w:r w:rsidRPr="00532975">
        <w:rPr>
          <w:rFonts w:cs="Arial"/>
          <w:sz w:val="20"/>
          <w:szCs w:val="20"/>
        </w:rPr>
        <w:t>A formal appeals mechanism is established for both the granting of admission privileges and the delineation of clinical privileges. The appeals mechanism may be invoked by the Practitioner who lodges the objection to the privileges he/she has been granted or to the Hospitals refusal of admitting privileges rights. The appellant</w:t>
      </w:r>
      <w:r w:rsidRPr="00532975">
        <w:rPr>
          <w:rFonts w:cs="Arial"/>
          <w:color w:val="FF0000"/>
          <w:sz w:val="20"/>
          <w:szCs w:val="20"/>
        </w:rPr>
        <w:t xml:space="preserve"> </w:t>
      </w:r>
      <w:r w:rsidRPr="00532975">
        <w:rPr>
          <w:rFonts w:cs="Arial"/>
          <w:sz w:val="20"/>
          <w:szCs w:val="20"/>
        </w:rPr>
        <w:t xml:space="preserve">has the right to make submissions to the Hospital, in writing within </w:t>
      </w:r>
      <w:r w:rsidRPr="00532975">
        <w:rPr>
          <w:rFonts w:cs="Arial"/>
          <w:sz w:val="20"/>
          <w:szCs w:val="20"/>
          <w:u w:val="single"/>
        </w:rPr>
        <w:t>six months</w:t>
      </w:r>
      <w:r w:rsidRPr="00532975">
        <w:rPr>
          <w:rFonts w:cs="Arial"/>
          <w:sz w:val="20"/>
          <w:szCs w:val="20"/>
        </w:rPr>
        <w:t>.</w:t>
      </w:r>
    </w:p>
    <w:p w:rsidR="009C29E9" w:rsidRPr="00532975" w:rsidRDefault="009C29E9" w:rsidP="009C29E9">
      <w:pPr>
        <w:pStyle w:val="Header"/>
        <w:numPr>
          <w:ilvl w:val="0"/>
          <w:numId w:val="7"/>
        </w:numPr>
        <w:tabs>
          <w:tab w:val="clear" w:pos="4153"/>
          <w:tab w:val="clear" w:pos="8306"/>
        </w:tabs>
        <w:ind w:left="357" w:hanging="357"/>
        <w:jc w:val="both"/>
        <w:rPr>
          <w:rFonts w:cs="Arial"/>
          <w:sz w:val="20"/>
          <w:szCs w:val="20"/>
        </w:rPr>
      </w:pPr>
      <w:r w:rsidRPr="00532975">
        <w:rPr>
          <w:rFonts w:cs="Arial"/>
          <w:sz w:val="20"/>
          <w:szCs w:val="20"/>
        </w:rPr>
        <w:t>After registering an appeal through the Hospital Director, the Senior Management Meeting may nominate a committee to act as an Appeals Committee to hear the appeal. This committee shall consist of:-</w:t>
      </w:r>
    </w:p>
    <w:p w:rsidR="009C29E9" w:rsidRPr="00532975" w:rsidRDefault="009C29E9" w:rsidP="009C29E9">
      <w:pPr>
        <w:pStyle w:val="Header"/>
        <w:numPr>
          <w:ilvl w:val="0"/>
          <w:numId w:val="9"/>
        </w:numPr>
        <w:tabs>
          <w:tab w:val="clear" w:pos="4153"/>
          <w:tab w:val="clear" w:pos="8306"/>
        </w:tabs>
        <w:jc w:val="both"/>
        <w:rPr>
          <w:rFonts w:cs="Arial"/>
          <w:sz w:val="20"/>
          <w:szCs w:val="20"/>
        </w:rPr>
      </w:pPr>
      <w:r w:rsidRPr="00532975">
        <w:rPr>
          <w:rFonts w:cs="Arial"/>
          <w:sz w:val="20"/>
          <w:szCs w:val="20"/>
        </w:rPr>
        <w:t>Two representatives of the Medical Advisory Committee.</w:t>
      </w:r>
    </w:p>
    <w:p w:rsidR="009C29E9" w:rsidRPr="00532975" w:rsidRDefault="009C29E9" w:rsidP="009C29E9">
      <w:pPr>
        <w:pStyle w:val="Header"/>
        <w:numPr>
          <w:ilvl w:val="0"/>
          <w:numId w:val="9"/>
        </w:numPr>
        <w:tabs>
          <w:tab w:val="clear" w:pos="4153"/>
          <w:tab w:val="clear" w:pos="8306"/>
        </w:tabs>
        <w:jc w:val="both"/>
        <w:rPr>
          <w:rFonts w:cs="Arial"/>
          <w:sz w:val="20"/>
          <w:szCs w:val="20"/>
        </w:rPr>
      </w:pPr>
      <w:r w:rsidRPr="00532975">
        <w:rPr>
          <w:rFonts w:cs="Arial"/>
          <w:sz w:val="20"/>
          <w:szCs w:val="20"/>
        </w:rPr>
        <w:t>Two representatives of the Senior Management Committee.</w:t>
      </w:r>
    </w:p>
    <w:p w:rsidR="009C29E9" w:rsidRPr="00532975" w:rsidRDefault="009C29E9" w:rsidP="009C29E9">
      <w:pPr>
        <w:pStyle w:val="Header"/>
        <w:numPr>
          <w:ilvl w:val="0"/>
          <w:numId w:val="9"/>
        </w:numPr>
        <w:tabs>
          <w:tab w:val="clear" w:pos="4153"/>
          <w:tab w:val="clear" w:pos="8306"/>
        </w:tabs>
        <w:jc w:val="both"/>
        <w:rPr>
          <w:rFonts w:cs="Arial"/>
          <w:sz w:val="20"/>
          <w:szCs w:val="20"/>
        </w:rPr>
      </w:pPr>
      <w:r w:rsidRPr="00532975">
        <w:rPr>
          <w:rFonts w:cs="Arial"/>
          <w:sz w:val="20"/>
          <w:szCs w:val="20"/>
        </w:rPr>
        <w:t>A nominee requested of a recognised association e.g., Australian Medical Association or appropriate Learned College.</w:t>
      </w:r>
    </w:p>
    <w:p w:rsidR="009C29E9" w:rsidRDefault="009C29E9" w:rsidP="009C29E9">
      <w:pPr>
        <w:pStyle w:val="ListParagraph"/>
        <w:jc w:val="both"/>
        <w:rPr>
          <w:rFonts w:ascii="Times New Roman" w:hAnsi="Times New Roman"/>
          <w:b/>
        </w:rPr>
      </w:pPr>
    </w:p>
    <w:p w:rsidR="009C29E9" w:rsidRPr="00E53E0D" w:rsidRDefault="009C29E9" w:rsidP="009C29E9">
      <w:pPr>
        <w:pStyle w:val="ListParagraph"/>
        <w:ind w:left="0"/>
        <w:jc w:val="both"/>
        <w:rPr>
          <w:rFonts w:ascii="Arial" w:hAnsi="Arial" w:cs="Arial"/>
          <w:b/>
          <w:sz w:val="20"/>
          <w:szCs w:val="20"/>
          <w:u w:val="single"/>
        </w:rPr>
      </w:pPr>
      <w:r w:rsidRPr="00E53E0D">
        <w:rPr>
          <w:rFonts w:ascii="Arial" w:hAnsi="Arial" w:cs="Arial"/>
          <w:b/>
          <w:sz w:val="20"/>
          <w:szCs w:val="20"/>
          <w:u w:val="single"/>
        </w:rPr>
        <w:t>TERMINATION OF APPOINTMENT</w:t>
      </w:r>
    </w:p>
    <w:p w:rsidR="009C29E9" w:rsidRPr="00E53E0D" w:rsidRDefault="009C29E9" w:rsidP="009C29E9">
      <w:pPr>
        <w:pStyle w:val="ListParagraph"/>
        <w:ind w:left="0"/>
        <w:jc w:val="both"/>
        <w:rPr>
          <w:rFonts w:ascii="Arial" w:hAnsi="Arial" w:cs="Arial"/>
          <w:sz w:val="20"/>
          <w:szCs w:val="20"/>
        </w:rPr>
      </w:pPr>
      <w:r w:rsidRPr="00E53E0D">
        <w:rPr>
          <w:rFonts w:ascii="Arial" w:hAnsi="Arial" w:cs="Arial"/>
          <w:sz w:val="20"/>
          <w:szCs w:val="20"/>
        </w:rPr>
        <w:t>Accreditation for Clinical Privileges to admit patients to the Hospital</w:t>
      </w:r>
      <w:r w:rsidRPr="00E53E0D">
        <w:rPr>
          <w:rFonts w:ascii="Arial" w:hAnsi="Arial" w:cs="Arial"/>
          <w:b/>
          <w:sz w:val="20"/>
          <w:szCs w:val="20"/>
        </w:rPr>
        <w:t xml:space="preserve"> </w:t>
      </w:r>
      <w:r w:rsidRPr="00E53E0D">
        <w:rPr>
          <w:rFonts w:ascii="Arial" w:hAnsi="Arial" w:cs="Arial"/>
          <w:sz w:val="20"/>
          <w:szCs w:val="20"/>
        </w:rPr>
        <w:t xml:space="preserve">is an “at will "relationship between the Hospital and the Visiting Practitioner.  This relationship is not guaranteed and is able to be suspended or </w:t>
      </w:r>
      <w:r>
        <w:rPr>
          <w:rFonts w:ascii="Arial" w:hAnsi="Arial" w:cs="Arial"/>
          <w:sz w:val="20"/>
          <w:szCs w:val="20"/>
        </w:rPr>
        <w:t>t</w:t>
      </w:r>
      <w:r w:rsidRPr="00E53E0D">
        <w:rPr>
          <w:rFonts w:ascii="Arial" w:hAnsi="Arial" w:cs="Arial"/>
          <w:sz w:val="20"/>
          <w:szCs w:val="20"/>
        </w:rPr>
        <w:t>erminated upon written notification, without notice, and for any reason, by either</w:t>
      </w:r>
      <w:r>
        <w:rPr>
          <w:rFonts w:ascii="Arial" w:hAnsi="Arial" w:cs="Arial"/>
          <w:sz w:val="20"/>
          <w:szCs w:val="20"/>
        </w:rPr>
        <w:t xml:space="preserve"> p</w:t>
      </w:r>
      <w:r w:rsidRPr="00E53E0D">
        <w:rPr>
          <w:rFonts w:ascii="Arial" w:hAnsi="Arial" w:cs="Arial"/>
          <w:sz w:val="20"/>
          <w:szCs w:val="20"/>
        </w:rPr>
        <w:t>arty.</w:t>
      </w:r>
    </w:p>
    <w:p w:rsidR="009C29E9" w:rsidRPr="00E53E0D" w:rsidRDefault="009C29E9" w:rsidP="009C29E9">
      <w:pPr>
        <w:pStyle w:val="ListParagraph"/>
        <w:ind w:left="0"/>
        <w:jc w:val="both"/>
        <w:rPr>
          <w:rFonts w:ascii="Arial" w:hAnsi="Arial" w:cs="Arial"/>
          <w:sz w:val="20"/>
          <w:szCs w:val="20"/>
        </w:rPr>
      </w:pPr>
      <w:r w:rsidRPr="00E53E0D">
        <w:rPr>
          <w:rFonts w:ascii="Arial" w:hAnsi="Arial" w:cs="Arial"/>
          <w:sz w:val="20"/>
          <w:szCs w:val="20"/>
        </w:rPr>
        <w:t>Notwithstanding, the following situations will result in immediate suspension or termination of Clinical Privileges after notification by the Hospital Director to the MAC Chairman and/or a member of Corporate Management:</w:t>
      </w:r>
    </w:p>
    <w:p w:rsidR="009C29E9" w:rsidRPr="00E53E0D" w:rsidRDefault="009C29E9" w:rsidP="009C29E9">
      <w:pPr>
        <w:pStyle w:val="ListParagraph"/>
        <w:ind w:left="0"/>
        <w:jc w:val="both"/>
        <w:rPr>
          <w:rFonts w:ascii="Arial" w:hAnsi="Arial" w:cs="Arial"/>
          <w:sz w:val="20"/>
          <w:szCs w:val="20"/>
        </w:rPr>
      </w:pPr>
    </w:p>
    <w:p w:rsidR="009C29E9" w:rsidRPr="00E53E0D" w:rsidRDefault="009C29E9" w:rsidP="009C29E9">
      <w:pPr>
        <w:pStyle w:val="ListParagraph"/>
        <w:numPr>
          <w:ilvl w:val="0"/>
          <w:numId w:val="21"/>
        </w:numPr>
        <w:ind w:left="360"/>
        <w:jc w:val="both"/>
        <w:rPr>
          <w:rFonts w:ascii="Arial" w:hAnsi="Arial" w:cs="Arial"/>
          <w:sz w:val="20"/>
          <w:szCs w:val="20"/>
        </w:rPr>
      </w:pPr>
      <w:r w:rsidRPr="00E53E0D">
        <w:rPr>
          <w:rFonts w:ascii="Arial" w:hAnsi="Arial" w:cs="Arial"/>
          <w:sz w:val="20"/>
          <w:szCs w:val="20"/>
        </w:rPr>
        <w:t xml:space="preserve">An appointment will be immediately terminated if an Accredited Visiting Practitioner    ceases to be currently registered with AHPRA. </w:t>
      </w:r>
    </w:p>
    <w:p w:rsidR="009C29E9" w:rsidRDefault="009C29E9" w:rsidP="009C29E9">
      <w:pPr>
        <w:pStyle w:val="ListParagraph"/>
        <w:numPr>
          <w:ilvl w:val="0"/>
          <w:numId w:val="21"/>
        </w:numPr>
        <w:ind w:left="360"/>
        <w:jc w:val="both"/>
        <w:rPr>
          <w:rFonts w:ascii="Arial" w:hAnsi="Arial" w:cs="Arial"/>
          <w:sz w:val="20"/>
          <w:szCs w:val="20"/>
        </w:rPr>
      </w:pPr>
      <w:r w:rsidRPr="00E53E0D">
        <w:rPr>
          <w:rFonts w:ascii="Arial" w:hAnsi="Arial" w:cs="Arial"/>
          <w:sz w:val="20"/>
          <w:szCs w:val="20"/>
        </w:rPr>
        <w:t>Clinical Privileges may be suspended or terminated should a Visiting Practitioner become incapable of performing his or her duties, or acting in an unprofessional way that is considered, by the Hospital</w:t>
      </w:r>
      <w:r>
        <w:rPr>
          <w:rFonts w:ascii="Arial" w:hAnsi="Arial" w:cs="Arial"/>
          <w:sz w:val="20"/>
          <w:szCs w:val="20"/>
        </w:rPr>
        <w:t>, to be detrimental to patients or</w:t>
      </w:r>
      <w:r w:rsidRPr="00E53E0D">
        <w:rPr>
          <w:rFonts w:ascii="Arial" w:hAnsi="Arial" w:cs="Arial"/>
          <w:sz w:val="20"/>
          <w:szCs w:val="20"/>
        </w:rPr>
        <w:t xml:space="preserve"> staff and the wellbeing of the Hospital.  </w:t>
      </w:r>
    </w:p>
    <w:p w:rsidR="009C29E9" w:rsidRPr="00E53E0D" w:rsidRDefault="009C29E9" w:rsidP="009C29E9">
      <w:pPr>
        <w:pStyle w:val="ListParagraph"/>
        <w:numPr>
          <w:ilvl w:val="0"/>
          <w:numId w:val="21"/>
        </w:numPr>
        <w:ind w:left="360"/>
        <w:jc w:val="both"/>
        <w:rPr>
          <w:rFonts w:ascii="Arial" w:hAnsi="Arial" w:cs="Arial"/>
          <w:sz w:val="20"/>
          <w:szCs w:val="20"/>
        </w:rPr>
      </w:pPr>
      <w:r w:rsidRPr="00E53E0D">
        <w:rPr>
          <w:rFonts w:ascii="Arial" w:hAnsi="Arial" w:cs="Arial"/>
          <w:sz w:val="20"/>
          <w:szCs w:val="20"/>
        </w:rPr>
        <w:t>The appointment of a Visiting Practitioner may be at any time suspended or terminated by the Hospital Director and/or a member of Corporate Management where the Visiting Practitioner fails to reasonably observe the terms and conditions of his or her appointment as a Visiting Practitioner within the Terms of the By Laws herein, or is judged guilty of professional misconduct or unsatisfactory professional conduct.</w:t>
      </w:r>
    </w:p>
    <w:p w:rsidR="009C29E9" w:rsidRPr="00E53E0D" w:rsidRDefault="009C29E9" w:rsidP="009C29E9">
      <w:pPr>
        <w:pStyle w:val="ListParagraph"/>
        <w:numPr>
          <w:ilvl w:val="0"/>
          <w:numId w:val="21"/>
        </w:numPr>
        <w:ind w:left="360"/>
        <w:jc w:val="both"/>
        <w:rPr>
          <w:rFonts w:ascii="Arial" w:hAnsi="Arial" w:cs="Arial"/>
          <w:sz w:val="20"/>
          <w:szCs w:val="20"/>
        </w:rPr>
      </w:pPr>
      <w:r w:rsidRPr="00E53E0D">
        <w:rPr>
          <w:rFonts w:ascii="Arial" w:hAnsi="Arial" w:cs="Arial"/>
          <w:sz w:val="20"/>
          <w:szCs w:val="20"/>
        </w:rPr>
        <w:t xml:space="preserve">Clinical Privileges may be suspended or terminated should a Visiting Practitioner be party to a significant clinical incident resulting in the involvement of the MAC or its delegates which results in the MAC determining an appropriate cause of action.  </w:t>
      </w:r>
    </w:p>
    <w:p w:rsidR="009C29E9" w:rsidRPr="00E53E0D" w:rsidRDefault="009C29E9" w:rsidP="009C29E9">
      <w:pPr>
        <w:pStyle w:val="ListParagraph"/>
        <w:numPr>
          <w:ilvl w:val="0"/>
          <w:numId w:val="21"/>
        </w:numPr>
        <w:ind w:left="360"/>
        <w:jc w:val="both"/>
        <w:rPr>
          <w:rFonts w:ascii="Arial" w:hAnsi="Arial" w:cs="Arial"/>
          <w:sz w:val="20"/>
          <w:szCs w:val="20"/>
        </w:rPr>
      </w:pPr>
      <w:r w:rsidRPr="00E53E0D">
        <w:rPr>
          <w:rFonts w:ascii="Arial" w:hAnsi="Arial" w:cs="Arial"/>
          <w:sz w:val="20"/>
          <w:szCs w:val="20"/>
        </w:rPr>
        <w:t xml:space="preserve">In the event of the Visiting Practitioner's Clinical Privileges being suspended or terminated then the Hospital Director will work together with the Visiting Practitioner to ensure the safe transfer of patient care of any of their currently admitted patients in the Hospital to a suitably qualified Visiting </w:t>
      </w:r>
      <w:proofErr w:type="spellStart"/>
      <w:r w:rsidRPr="00E53E0D">
        <w:rPr>
          <w:rFonts w:ascii="Arial" w:hAnsi="Arial" w:cs="Arial"/>
          <w:sz w:val="20"/>
          <w:szCs w:val="20"/>
        </w:rPr>
        <w:t>Practioner</w:t>
      </w:r>
      <w:proofErr w:type="spellEnd"/>
      <w:r w:rsidRPr="00E53E0D">
        <w:rPr>
          <w:rFonts w:ascii="Arial" w:hAnsi="Arial" w:cs="Arial"/>
          <w:sz w:val="20"/>
          <w:szCs w:val="20"/>
        </w:rPr>
        <w:t xml:space="preserve">.   In the event that the Visiting Practitioner is unavailable and/or unwilling or unable to confer with the Hospital Director to ensure the safe management of their patient through discharge or transfer of patient to another Visiting Practitioner or facility for their management, the Hospital Director will notify the MAC Chairman for further instruction and will consult together with Corporate Management to achieve a safe outcome for the afore mentioned patients. </w:t>
      </w:r>
    </w:p>
    <w:p w:rsidR="009C29E9" w:rsidRPr="00532975" w:rsidRDefault="009C29E9" w:rsidP="00AE0509">
      <w:pPr>
        <w:pStyle w:val="ListParagraph"/>
        <w:ind w:left="0"/>
        <w:jc w:val="both"/>
        <w:rPr>
          <w:rFonts w:cs="Arial"/>
          <w:sz w:val="20"/>
          <w:szCs w:val="20"/>
        </w:rPr>
      </w:pPr>
    </w:p>
    <w:p w:rsidR="00D30342" w:rsidRPr="00532975" w:rsidRDefault="00D30342" w:rsidP="00D30342">
      <w:pPr>
        <w:pStyle w:val="Header"/>
        <w:ind w:right="-1"/>
        <w:jc w:val="both"/>
        <w:rPr>
          <w:rFonts w:cs="Arial"/>
          <w:b/>
          <w:color w:val="31849B"/>
          <w:sz w:val="20"/>
          <w:szCs w:val="20"/>
        </w:rPr>
      </w:pPr>
      <w:r w:rsidRPr="00532975">
        <w:rPr>
          <w:rFonts w:cs="Arial"/>
          <w:b/>
          <w:color w:val="31849B"/>
          <w:sz w:val="20"/>
          <w:szCs w:val="20"/>
        </w:rPr>
        <w:t>These By-Laws must be read in conjunction with Federal and State Laws</w:t>
      </w:r>
      <w:r w:rsidR="006F3038">
        <w:rPr>
          <w:rFonts w:cs="Arial"/>
          <w:b/>
          <w:color w:val="31849B"/>
          <w:sz w:val="20"/>
          <w:szCs w:val="20"/>
        </w:rPr>
        <w:t>, The Private Health Facilitates Regulation</w:t>
      </w:r>
      <w:r w:rsidRPr="00532975">
        <w:rPr>
          <w:rFonts w:cs="Arial"/>
          <w:b/>
          <w:color w:val="31849B"/>
          <w:sz w:val="20"/>
          <w:szCs w:val="20"/>
        </w:rPr>
        <w:t xml:space="preserve"> and any associated regulations.</w:t>
      </w:r>
    </w:p>
    <w:p w:rsidR="00D30342" w:rsidRPr="00532975" w:rsidRDefault="00D30342" w:rsidP="00D30342">
      <w:pPr>
        <w:pStyle w:val="Header"/>
        <w:ind w:right="-1"/>
        <w:jc w:val="both"/>
        <w:rPr>
          <w:rFonts w:cs="Arial"/>
          <w:color w:val="31849B"/>
          <w:sz w:val="20"/>
          <w:szCs w:val="20"/>
        </w:rPr>
      </w:pPr>
    </w:p>
    <w:p w:rsidR="00D30342" w:rsidRPr="00532975" w:rsidRDefault="00D30342" w:rsidP="00D30342">
      <w:pPr>
        <w:pStyle w:val="Header"/>
        <w:ind w:right="-1"/>
        <w:jc w:val="both"/>
        <w:rPr>
          <w:rFonts w:cs="Arial"/>
          <w:b/>
          <w:color w:val="31849B"/>
          <w:sz w:val="20"/>
          <w:szCs w:val="20"/>
        </w:rPr>
      </w:pPr>
      <w:r w:rsidRPr="00532975">
        <w:rPr>
          <w:rFonts w:cs="Arial"/>
          <w:b/>
          <w:color w:val="31849B"/>
          <w:sz w:val="20"/>
          <w:szCs w:val="20"/>
        </w:rPr>
        <w:t>Professional Ethics are to be read as per the Code of Ethics of the Australian Medical Association and the Learned Colleges.</w:t>
      </w:r>
    </w:p>
    <w:p w:rsidR="00D30342" w:rsidRDefault="00D30342" w:rsidP="00D30342">
      <w:pPr>
        <w:pStyle w:val="Header"/>
        <w:ind w:right="-1"/>
        <w:jc w:val="both"/>
        <w:rPr>
          <w:rFonts w:cs="Arial"/>
          <w:b/>
          <w:color w:val="31849B"/>
          <w:sz w:val="20"/>
          <w:szCs w:val="20"/>
        </w:rPr>
      </w:pPr>
    </w:p>
    <w:p w:rsidR="007B77E9" w:rsidRDefault="007B77E9" w:rsidP="00D30342">
      <w:pPr>
        <w:pStyle w:val="Header"/>
        <w:ind w:right="-1"/>
        <w:jc w:val="both"/>
        <w:rPr>
          <w:rFonts w:cs="Arial"/>
          <w:b/>
          <w:color w:val="31849B"/>
          <w:sz w:val="20"/>
          <w:szCs w:val="20"/>
        </w:rPr>
      </w:pPr>
      <w:r>
        <w:rPr>
          <w:rFonts w:cs="Arial"/>
          <w:b/>
          <w:color w:val="31849B"/>
          <w:sz w:val="20"/>
          <w:szCs w:val="20"/>
        </w:rPr>
        <w:t>Better Safer Care Victoria – Credentialing and Scope of Clinical Practice for Senior Medical Practitioners Victoria Policy.</w:t>
      </w:r>
    </w:p>
    <w:p w:rsidR="007B77E9" w:rsidRPr="00532975" w:rsidRDefault="007B77E9" w:rsidP="00D30342">
      <w:pPr>
        <w:pStyle w:val="Header"/>
        <w:ind w:right="-1"/>
        <w:jc w:val="both"/>
        <w:rPr>
          <w:rFonts w:cs="Arial"/>
          <w:b/>
          <w:color w:val="31849B"/>
          <w:sz w:val="20"/>
          <w:szCs w:val="20"/>
        </w:rPr>
      </w:pPr>
      <w:r>
        <w:rPr>
          <w:rFonts w:cs="Arial"/>
          <w:b/>
          <w:color w:val="31849B"/>
          <w:sz w:val="20"/>
          <w:szCs w:val="20"/>
        </w:rPr>
        <w:t>https:www.bettersafercare.vic.gov.au/publications/credentialing and scope of practice for senior medical practitioners-policy</w:t>
      </w:r>
    </w:p>
    <w:sectPr w:rsidR="007B77E9" w:rsidRPr="00532975" w:rsidSect="00B15D04">
      <w:headerReference w:type="even" r:id="rId13"/>
      <w:headerReference w:type="default" r:id="rId14"/>
      <w:footerReference w:type="even" r:id="rId15"/>
      <w:footerReference w:type="default" r:id="rId16"/>
      <w:headerReference w:type="first" r:id="rId17"/>
      <w:footerReference w:type="first" r:id="rId18"/>
      <w:pgSz w:w="11906" w:h="16838" w:code="9"/>
      <w:pgMar w:top="539" w:right="1797" w:bottom="669" w:left="1797" w:header="709" w:footer="284" w:gutter="0"/>
      <w:pgBorders w:offsetFrom="page">
        <w:top w:val="single" w:sz="24" w:space="24" w:color="31849B"/>
        <w:left w:val="single" w:sz="24" w:space="24" w:color="31849B"/>
        <w:bottom w:val="single" w:sz="24" w:space="24" w:color="31849B"/>
        <w:right w:val="single" w:sz="24" w:space="24" w:color="31849B"/>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9E9" w:rsidRDefault="009C29E9">
      <w:r>
        <w:separator/>
      </w:r>
    </w:p>
  </w:endnote>
  <w:endnote w:type="continuationSeparator" w:id="0">
    <w:p w:rsidR="009C29E9" w:rsidRDefault="009C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FD" w:rsidRDefault="00FE2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9E9" w:rsidRDefault="009C29E9">
    <w:pPr>
      <w:pStyle w:val="Footer"/>
      <w:rPr>
        <w:sz w:val="16"/>
      </w:rPr>
    </w:pPr>
    <w:r>
      <w:rPr>
        <w:rStyle w:val="PageNumber"/>
        <w:sz w:val="16"/>
      </w:rPr>
      <w:t>________________________________________________________________________________________</w:t>
    </w:r>
    <w:proofErr w:type="gramStart"/>
    <w:r>
      <w:rPr>
        <w:rStyle w:val="PageNumber"/>
        <w:sz w:val="16"/>
      </w:rPr>
      <w:t xml:space="preserve">_  </w:t>
    </w:r>
    <w:proofErr w:type="gramEnd"/>
    <w:r>
      <w:rPr>
        <w:rStyle w:val="PageNumber"/>
        <w:sz w:val="16"/>
      </w:rPr>
      <w:fldChar w:fldCharType="begin"/>
    </w:r>
    <w:r>
      <w:rPr>
        <w:rStyle w:val="PageNumber"/>
        <w:sz w:val="16"/>
      </w:rPr>
      <w:instrText xml:space="preserve"> PAGE </w:instrText>
    </w:r>
    <w:r>
      <w:rPr>
        <w:rStyle w:val="PageNumber"/>
        <w:sz w:val="16"/>
      </w:rPr>
      <w:fldChar w:fldCharType="separate"/>
    </w:r>
    <w:r w:rsidR="001002D6">
      <w:rPr>
        <w:rStyle w:val="PageNumber"/>
        <w:noProof/>
        <w:sz w:val="16"/>
      </w:rPr>
      <w:t>10</w:t>
    </w:r>
    <w:r>
      <w:rPr>
        <w:rStyle w:val="PageNumber"/>
        <w:sz w:val="16"/>
      </w:rPr>
      <w:fldChar w:fldCharType="end"/>
    </w:r>
  </w:p>
  <w:p w:rsidR="009C29E9" w:rsidRDefault="009C29E9" w:rsidP="00B15D04">
    <w:pPr>
      <w:pStyle w:val="Footer"/>
      <w:ind w:left="-567"/>
      <w:jc w:val="center"/>
      <w:rPr>
        <w:b/>
        <w:sz w:val="18"/>
      </w:rPr>
    </w:pPr>
  </w:p>
  <w:p w:rsidR="009C29E9" w:rsidRDefault="009C29E9" w:rsidP="00B15D04">
    <w:pPr>
      <w:pStyle w:val="Footer"/>
      <w:ind w:left="-567"/>
      <w:jc w:val="center"/>
      <w:rPr>
        <w:b/>
        <w:sz w:val="18"/>
      </w:rPr>
    </w:pPr>
    <w:r>
      <w:rPr>
        <w:b/>
        <w:sz w:val="18"/>
      </w:rPr>
      <w:t>THIS DOCUMENT IS CONTROLLED</w:t>
    </w:r>
  </w:p>
  <w:tbl>
    <w:tblPr>
      <w:tblStyle w:val="TableGrid"/>
      <w:tblW w:w="0" w:type="auto"/>
      <w:tblLook w:val="04A0" w:firstRow="1" w:lastRow="0" w:firstColumn="1" w:lastColumn="0" w:noHBand="0" w:noVBand="1"/>
    </w:tblPr>
    <w:tblGrid>
      <w:gridCol w:w="2767"/>
      <w:gridCol w:w="2767"/>
      <w:gridCol w:w="2768"/>
    </w:tblGrid>
    <w:tr w:rsidR="00FE22FD" w:rsidTr="00FE22FD">
      <w:tc>
        <w:tcPr>
          <w:tcW w:w="2767" w:type="dxa"/>
        </w:tcPr>
        <w:p w:rsidR="00FE22FD" w:rsidRPr="00FE22FD" w:rsidRDefault="00FE22FD">
          <w:pPr>
            <w:pStyle w:val="Footer"/>
            <w:rPr>
              <w:iCs/>
              <w:sz w:val="16"/>
            </w:rPr>
          </w:pPr>
          <w:r>
            <w:rPr>
              <w:iCs/>
              <w:sz w:val="16"/>
            </w:rPr>
            <w:t>P:/Malvern/A Policies MPH/NSQHS1/Support Documents/MPH By-Laws</w:t>
          </w:r>
        </w:p>
      </w:tc>
      <w:tc>
        <w:tcPr>
          <w:tcW w:w="2767" w:type="dxa"/>
        </w:tcPr>
        <w:p w:rsidR="00FE22FD" w:rsidRDefault="00FE22FD">
          <w:pPr>
            <w:pStyle w:val="Footer"/>
            <w:rPr>
              <w:i/>
              <w:iCs/>
              <w:sz w:val="16"/>
            </w:rPr>
          </w:pPr>
          <w:r>
            <w:rPr>
              <w:i/>
              <w:iCs/>
              <w:sz w:val="16"/>
            </w:rPr>
            <w:t>Authorised in 2004</w:t>
          </w:r>
        </w:p>
      </w:tc>
      <w:tc>
        <w:tcPr>
          <w:tcW w:w="2768" w:type="dxa"/>
        </w:tcPr>
        <w:p w:rsidR="00FE22FD" w:rsidRDefault="00FE22FD">
          <w:pPr>
            <w:pStyle w:val="Footer"/>
            <w:rPr>
              <w:i/>
              <w:iCs/>
              <w:sz w:val="16"/>
            </w:rPr>
          </w:pPr>
          <w:r>
            <w:rPr>
              <w:i/>
              <w:iCs/>
              <w:sz w:val="16"/>
            </w:rPr>
            <w:t>Authoriser: Hospital Director</w:t>
          </w:r>
        </w:p>
      </w:tc>
    </w:tr>
    <w:tr w:rsidR="00FE22FD" w:rsidTr="00FE22FD">
      <w:tc>
        <w:tcPr>
          <w:tcW w:w="2767" w:type="dxa"/>
        </w:tcPr>
        <w:p w:rsidR="00FE22FD" w:rsidRDefault="00FE22FD" w:rsidP="008F1A99">
          <w:pPr>
            <w:pStyle w:val="Footer"/>
            <w:rPr>
              <w:i/>
              <w:iCs/>
              <w:sz w:val="16"/>
            </w:rPr>
          </w:pPr>
          <w:r>
            <w:rPr>
              <w:i/>
              <w:iCs/>
              <w:sz w:val="16"/>
            </w:rPr>
            <w:t>Version - 1</w:t>
          </w:r>
          <w:r w:rsidR="008F1A99">
            <w:rPr>
              <w:i/>
              <w:iCs/>
              <w:sz w:val="16"/>
            </w:rPr>
            <w:t>3</w:t>
          </w:r>
        </w:p>
      </w:tc>
      <w:tc>
        <w:tcPr>
          <w:tcW w:w="2767" w:type="dxa"/>
        </w:tcPr>
        <w:p w:rsidR="00FE22FD" w:rsidRDefault="00FE22FD" w:rsidP="008F1A99">
          <w:pPr>
            <w:pStyle w:val="Footer"/>
            <w:rPr>
              <w:i/>
              <w:iCs/>
              <w:sz w:val="16"/>
            </w:rPr>
          </w:pPr>
          <w:r>
            <w:rPr>
              <w:i/>
              <w:iCs/>
              <w:sz w:val="16"/>
            </w:rPr>
            <w:t xml:space="preserve">Reviewed </w:t>
          </w:r>
          <w:r w:rsidR="008F1A99">
            <w:rPr>
              <w:i/>
              <w:iCs/>
              <w:sz w:val="16"/>
            </w:rPr>
            <w:t xml:space="preserve"> June 2021</w:t>
          </w:r>
        </w:p>
      </w:tc>
      <w:tc>
        <w:tcPr>
          <w:tcW w:w="2768" w:type="dxa"/>
        </w:tcPr>
        <w:p w:rsidR="00FE22FD" w:rsidRDefault="00FE22FD">
          <w:pPr>
            <w:pStyle w:val="Footer"/>
            <w:rPr>
              <w:i/>
              <w:iCs/>
              <w:sz w:val="16"/>
            </w:rPr>
          </w:pPr>
        </w:p>
      </w:tc>
    </w:tr>
  </w:tbl>
  <w:p w:rsidR="009C29E9" w:rsidRDefault="009C29E9">
    <w:pPr>
      <w:pStyle w:val="Footer"/>
      <w:rPr>
        <w:i/>
        <w:iCs/>
        <w:sz w:val="16"/>
      </w:rPr>
    </w:pPr>
  </w:p>
  <w:p w:rsidR="009C29E9" w:rsidRDefault="009C29E9">
    <w:pPr>
      <w:pStyle w:val="Footer"/>
      <w:rPr>
        <w:sz w:val="16"/>
      </w:rPr>
    </w:pPr>
    <w:r>
      <w:rPr>
        <w:sz w:val="16"/>
      </w:rPr>
      <w:t>.</w:t>
    </w:r>
  </w:p>
  <w:p w:rsidR="009C29E9" w:rsidRDefault="009C2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FD" w:rsidRDefault="00FE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9E9" w:rsidRDefault="009C29E9">
      <w:r>
        <w:separator/>
      </w:r>
    </w:p>
  </w:footnote>
  <w:footnote w:type="continuationSeparator" w:id="0">
    <w:p w:rsidR="009C29E9" w:rsidRDefault="009C2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FD" w:rsidRDefault="00FE2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FD" w:rsidRDefault="00FE2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FD" w:rsidRDefault="00FE2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0D3"/>
    <w:multiLevelType w:val="hybridMultilevel"/>
    <w:tmpl w:val="40B6F980"/>
    <w:lvl w:ilvl="0" w:tplc="0C090001">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EAF13FE"/>
    <w:multiLevelType w:val="hybridMultilevel"/>
    <w:tmpl w:val="445A9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8135F"/>
    <w:multiLevelType w:val="hybridMultilevel"/>
    <w:tmpl w:val="C80CFDDC"/>
    <w:lvl w:ilvl="0" w:tplc="31A6F6B2">
      <w:start w:val="1"/>
      <w:numFmt w:val="lowerLetter"/>
      <w:lvlText w:val="%1)"/>
      <w:lvlJc w:val="left"/>
      <w:pPr>
        <w:tabs>
          <w:tab w:val="num" w:pos="727"/>
        </w:tabs>
        <w:ind w:left="727" w:hanging="585"/>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15:restartNumberingAfterBreak="0">
    <w:nsid w:val="166266C0"/>
    <w:multiLevelType w:val="hybridMultilevel"/>
    <w:tmpl w:val="E632B652"/>
    <w:lvl w:ilvl="0" w:tplc="0C090001">
      <w:start w:val="1"/>
      <w:numFmt w:val="bullet"/>
      <w:lvlText w:val=""/>
      <w:lvlJc w:val="left"/>
      <w:pPr>
        <w:tabs>
          <w:tab w:val="num" w:pos="720"/>
        </w:tabs>
        <w:ind w:left="720" w:hanging="360"/>
      </w:pPr>
      <w:rPr>
        <w:rFonts w:ascii="Symbol" w:hAnsi="Symbol" w:hint="default"/>
      </w:rPr>
    </w:lvl>
    <w:lvl w:ilvl="1" w:tplc="B6C4F0E0">
      <w:start w:val="1"/>
      <w:numFmt w:val="lowerLetter"/>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F1FD9"/>
    <w:multiLevelType w:val="hybridMultilevel"/>
    <w:tmpl w:val="DAFA41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D023D"/>
    <w:multiLevelType w:val="hybridMultilevel"/>
    <w:tmpl w:val="1F541ED0"/>
    <w:lvl w:ilvl="0" w:tplc="0C090001">
      <w:start w:val="1"/>
      <w:numFmt w:val="bullet"/>
      <w:lvlText w:val=""/>
      <w:lvlJc w:val="left"/>
      <w:pPr>
        <w:tabs>
          <w:tab w:val="num" w:pos="502"/>
        </w:tabs>
        <w:ind w:left="502" w:hanging="360"/>
      </w:pPr>
      <w:rPr>
        <w:rFonts w:ascii="Symbol" w:hAnsi="Symbol" w:hint="default"/>
      </w:rPr>
    </w:lvl>
    <w:lvl w:ilvl="1" w:tplc="04090001">
      <w:start w:val="1"/>
      <w:numFmt w:val="bullet"/>
      <w:lvlText w:val=""/>
      <w:lvlJc w:val="left"/>
      <w:pPr>
        <w:tabs>
          <w:tab w:val="num" w:pos="1222"/>
        </w:tabs>
        <w:ind w:left="1222" w:hanging="360"/>
      </w:pPr>
      <w:rPr>
        <w:rFonts w:ascii="Symbol" w:hAnsi="Symbol"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22350D0D"/>
    <w:multiLevelType w:val="hybridMultilevel"/>
    <w:tmpl w:val="D3A4EE5E"/>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22CA69DB"/>
    <w:multiLevelType w:val="hybridMultilevel"/>
    <w:tmpl w:val="6F3EF5B8"/>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86B4C67"/>
    <w:multiLevelType w:val="hybridMultilevel"/>
    <w:tmpl w:val="9EF6BBF2"/>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2DE850D2"/>
    <w:multiLevelType w:val="singleLevel"/>
    <w:tmpl w:val="26C0E822"/>
    <w:lvl w:ilvl="0">
      <w:start w:val="1"/>
      <w:numFmt w:val="decimal"/>
      <w:lvlText w:val="%1."/>
      <w:lvlJc w:val="left"/>
      <w:pPr>
        <w:tabs>
          <w:tab w:val="num" w:pos="360"/>
        </w:tabs>
        <w:ind w:left="360" w:hanging="360"/>
      </w:pPr>
    </w:lvl>
  </w:abstractNum>
  <w:abstractNum w:abstractNumId="10" w15:restartNumberingAfterBreak="0">
    <w:nsid w:val="2ED97FB3"/>
    <w:multiLevelType w:val="hybridMultilevel"/>
    <w:tmpl w:val="21B226D6"/>
    <w:lvl w:ilvl="0" w:tplc="0C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AE1A29"/>
    <w:multiLevelType w:val="hybridMultilevel"/>
    <w:tmpl w:val="B0AEAD56"/>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32EB2FD1"/>
    <w:multiLevelType w:val="hybridMultilevel"/>
    <w:tmpl w:val="ADA4F290"/>
    <w:lvl w:ilvl="0" w:tplc="0C090017">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346E0F29"/>
    <w:multiLevelType w:val="hybridMultilevel"/>
    <w:tmpl w:val="83E21E9A"/>
    <w:lvl w:ilvl="0" w:tplc="0C090001">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368A08D0"/>
    <w:multiLevelType w:val="hybridMultilevel"/>
    <w:tmpl w:val="726C327A"/>
    <w:lvl w:ilvl="0" w:tplc="0C090017">
      <w:start w:val="1"/>
      <w:numFmt w:val="lowerLetter"/>
      <w:lvlText w:val="%1)"/>
      <w:lvlJc w:val="left"/>
      <w:pPr>
        <w:tabs>
          <w:tab w:val="num" w:pos="502"/>
        </w:tabs>
        <w:ind w:left="502" w:hanging="360"/>
      </w:p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15" w15:restartNumberingAfterBreak="0">
    <w:nsid w:val="385E28D7"/>
    <w:multiLevelType w:val="singleLevel"/>
    <w:tmpl w:val="B6C4F0E0"/>
    <w:lvl w:ilvl="0">
      <w:start w:val="1"/>
      <w:numFmt w:val="lowerLetter"/>
      <w:lvlText w:val="%1)"/>
      <w:lvlJc w:val="left"/>
      <w:pPr>
        <w:tabs>
          <w:tab w:val="num" w:pos="360"/>
        </w:tabs>
        <w:ind w:left="360" w:hanging="360"/>
      </w:pPr>
      <w:rPr>
        <w:rFonts w:hint="default"/>
      </w:rPr>
    </w:lvl>
  </w:abstractNum>
  <w:abstractNum w:abstractNumId="16" w15:restartNumberingAfterBreak="0">
    <w:nsid w:val="393A12AA"/>
    <w:multiLevelType w:val="multilevel"/>
    <w:tmpl w:val="1DE6843E"/>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7" w15:restartNumberingAfterBreak="0">
    <w:nsid w:val="491C0430"/>
    <w:multiLevelType w:val="hybridMultilevel"/>
    <w:tmpl w:val="C3D67744"/>
    <w:lvl w:ilvl="0" w:tplc="B6C4F0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8E636DE"/>
    <w:multiLevelType w:val="hybridMultilevel"/>
    <w:tmpl w:val="2D741FF4"/>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C1B4B30"/>
    <w:multiLevelType w:val="hybridMultilevel"/>
    <w:tmpl w:val="8A649A8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EB501B7"/>
    <w:multiLevelType w:val="hybridMultilevel"/>
    <w:tmpl w:val="F0EE76A0"/>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FFA36B2"/>
    <w:multiLevelType w:val="hybridMultilevel"/>
    <w:tmpl w:val="2198507C"/>
    <w:lvl w:ilvl="0" w:tplc="0C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64E61C87"/>
    <w:multiLevelType w:val="hybridMultilevel"/>
    <w:tmpl w:val="4F167196"/>
    <w:lvl w:ilvl="0" w:tplc="0C090017">
      <w:start w:val="1"/>
      <w:numFmt w:val="lowerLetter"/>
      <w:lvlText w:val="%1)"/>
      <w:lvlJc w:val="left"/>
      <w:pPr>
        <w:tabs>
          <w:tab w:val="num" w:pos="502"/>
        </w:tabs>
        <w:ind w:left="502" w:hanging="360"/>
      </w:p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23" w15:restartNumberingAfterBreak="0">
    <w:nsid w:val="79B14140"/>
    <w:multiLevelType w:val="hybridMultilevel"/>
    <w:tmpl w:val="0F58181A"/>
    <w:lvl w:ilvl="0" w:tplc="0C090017">
      <w:start w:val="1"/>
      <w:numFmt w:val="lowerLetter"/>
      <w:lvlText w:val="%1)"/>
      <w:lvlJc w:val="left"/>
      <w:pPr>
        <w:tabs>
          <w:tab w:val="num" w:pos="502"/>
        </w:tabs>
        <w:ind w:left="502" w:hanging="360"/>
      </w:p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num w:numId="1">
    <w:abstractNumId w:val="12"/>
  </w:num>
  <w:num w:numId="2">
    <w:abstractNumId w:val="23"/>
  </w:num>
  <w:num w:numId="3">
    <w:abstractNumId w:val="2"/>
  </w:num>
  <w:num w:numId="4">
    <w:abstractNumId w:val="5"/>
  </w:num>
  <w:num w:numId="5">
    <w:abstractNumId w:val="22"/>
  </w:num>
  <w:num w:numId="6">
    <w:abstractNumId w:val="14"/>
  </w:num>
  <w:num w:numId="7">
    <w:abstractNumId w:val="15"/>
  </w:num>
  <w:num w:numId="8">
    <w:abstractNumId w:val="0"/>
  </w:num>
  <w:num w:numId="9">
    <w:abstractNumId w:val="3"/>
  </w:num>
  <w:num w:numId="10">
    <w:abstractNumId w:val="21"/>
  </w:num>
  <w:num w:numId="11">
    <w:abstractNumId w:val="4"/>
  </w:num>
  <w:num w:numId="12">
    <w:abstractNumId w:val="7"/>
  </w:num>
  <w:num w:numId="13">
    <w:abstractNumId w:val="13"/>
  </w:num>
  <w:num w:numId="14">
    <w:abstractNumId w:val="8"/>
  </w:num>
  <w:num w:numId="15">
    <w:abstractNumId w:val="11"/>
  </w:num>
  <w:num w:numId="16">
    <w:abstractNumId w:val="9"/>
  </w:num>
  <w:num w:numId="17">
    <w:abstractNumId w:val="10"/>
  </w:num>
  <w:num w:numId="18">
    <w:abstractNumId w:val="6"/>
  </w:num>
  <w:num w:numId="19">
    <w:abstractNumId w:val="17"/>
  </w:num>
  <w:num w:numId="20">
    <w:abstractNumId w:val="18"/>
  </w:num>
  <w:num w:numId="21">
    <w:abstractNumId w:val="19"/>
  </w:num>
  <w:num w:numId="22">
    <w:abstractNumId w:val="20"/>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42"/>
    <w:rsid w:val="00040B18"/>
    <w:rsid w:val="00057C78"/>
    <w:rsid w:val="000B5248"/>
    <w:rsid w:val="001002D6"/>
    <w:rsid w:val="001006A6"/>
    <w:rsid w:val="001A6E36"/>
    <w:rsid w:val="001E4D50"/>
    <w:rsid w:val="0029574F"/>
    <w:rsid w:val="00391060"/>
    <w:rsid w:val="003D6B00"/>
    <w:rsid w:val="00435F36"/>
    <w:rsid w:val="00444024"/>
    <w:rsid w:val="004856DF"/>
    <w:rsid w:val="004A293C"/>
    <w:rsid w:val="004A58BB"/>
    <w:rsid w:val="004D0A3E"/>
    <w:rsid w:val="005052C3"/>
    <w:rsid w:val="00557EA3"/>
    <w:rsid w:val="005A57DB"/>
    <w:rsid w:val="005E4DBA"/>
    <w:rsid w:val="005F50E8"/>
    <w:rsid w:val="00655E41"/>
    <w:rsid w:val="00684A3D"/>
    <w:rsid w:val="006C7DA6"/>
    <w:rsid w:val="006D3BA4"/>
    <w:rsid w:val="006F0D1B"/>
    <w:rsid w:val="006F3038"/>
    <w:rsid w:val="007110C0"/>
    <w:rsid w:val="00713737"/>
    <w:rsid w:val="00741FCA"/>
    <w:rsid w:val="00754592"/>
    <w:rsid w:val="00787E0E"/>
    <w:rsid w:val="00794534"/>
    <w:rsid w:val="007B77E9"/>
    <w:rsid w:val="007D62F9"/>
    <w:rsid w:val="007D6F79"/>
    <w:rsid w:val="007E19FD"/>
    <w:rsid w:val="007F364D"/>
    <w:rsid w:val="008325BF"/>
    <w:rsid w:val="0084471E"/>
    <w:rsid w:val="00864164"/>
    <w:rsid w:val="00875B89"/>
    <w:rsid w:val="0089132B"/>
    <w:rsid w:val="008F1A99"/>
    <w:rsid w:val="0098022F"/>
    <w:rsid w:val="00991DAD"/>
    <w:rsid w:val="009965BF"/>
    <w:rsid w:val="009B486C"/>
    <w:rsid w:val="009B51DD"/>
    <w:rsid w:val="009C29E9"/>
    <w:rsid w:val="009F074B"/>
    <w:rsid w:val="009F43B3"/>
    <w:rsid w:val="009F4E13"/>
    <w:rsid w:val="00A07C3B"/>
    <w:rsid w:val="00AE0509"/>
    <w:rsid w:val="00B15D04"/>
    <w:rsid w:val="00B237C6"/>
    <w:rsid w:val="00B91BE5"/>
    <w:rsid w:val="00BB03BA"/>
    <w:rsid w:val="00BC75E9"/>
    <w:rsid w:val="00C111D0"/>
    <w:rsid w:val="00C17FB9"/>
    <w:rsid w:val="00C3575C"/>
    <w:rsid w:val="00CB291F"/>
    <w:rsid w:val="00CC5BB3"/>
    <w:rsid w:val="00CC732F"/>
    <w:rsid w:val="00CF476C"/>
    <w:rsid w:val="00D30342"/>
    <w:rsid w:val="00D57313"/>
    <w:rsid w:val="00D74C78"/>
    <w:rsid w:val="00E32AF9"/>
    <w:rsid w:val="00E405C9"/>
    <w:rsid w:val="00E52BFD"/>
    <w:rsid w:val="00E53E0D"/>
    <w:rsid w:val="00E67EB6"/>
    <w:rsid w:val="00F05FBE"/>
    <w:rsid w:val="00F35C52"/>
    <w:rsid w:val="00F366F7"/>
    <w:rsid w:val="00F61339"/>
    <w:rsid w:val="00FE2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C52B"/>
  <w15:docId w15:val="{296987B9-093E-4177-A709-7113CD9F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342"/>
    <w:rPr>
      <w:sz w:val="22"/>
      <w:szCs w:val="22"/>
    </w:rPr>
  </w:style>
  <w:style w:type="paragraph" w:styleId="Heading2">
    <w:name w:val="heading 2"/>
    <w:basedOn w:val="Normal"/>
    <w:next w:val="Normal"/>
    <w:link w:val="Heading2Char"/>
    <w:uiPriority w:val="9"/>
    <w:semiHidden/>
    <w:unhideWhenUsed/>
    <w:qFormat/>
    <w:rsid w:val="00F05F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qFormat/>
    <w:rsid w:val="00D30342"/>
    <w:pPr>
      <w:keepNext/>
      <w:jc w:val="right"/>
      <w:outlineLvl w:val="8"/>
    </w:pPr>
    <w:rPr>
      <w:rFonts w:ascii="Arial" w:eastAsia="Times New Roman" w:hAnsi="Arial" w:cs="Arial"/>
      <w:b/>
      <w:bCs/>
      <w:i/>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30342"/>
    <w:rPr>
      <w:rFonts w:ascii="Arial" w:eastAsia="Times New Roman" w:hAnsi="Arial" w:cs="Arial"/>
      <w:b/>
      <w:bCs/>
      <w:i/>
      <w:iCs/>
      <w:sz w:val="24"/>
      <w:szCs w:val="24"/>
    </w:rPr>
  </w:style>
  <w:style w:type="paragraph" w:styleId="Caption">
    <w:name w:val="caption"/>
    <w:basedOn w:val="Normal"/>
    <w:next w:val="Normal"/>
    <w:qFormat/>
    <w:rsid w:val="00D30342"/>
    <w:pPr>
      <w:jc w:val="center"/>
    </w:pPr>
    <w:rPr>
      <w:rFonts w:ascii="Times New Roman" w:eastAsia="Times New Roman" w:hAnsi="Times New Roman"/>
      <w:b/>
      <w:bCs/>
      <w:i/>
      <w:iCs/>
      <w:sz w:val="52"/>
      <w:szCs w:val="24"/>
      <w:lang w:eastAsia="en-US"/>
    </w:rPr>
  </w:style>
  <w:style w:type="paragraph" w:styleId="Footer">
    <w:name w:val="footer"/>
    <w:basedOn w:val="Normal"/>
    <w:link w:val="FooterChar"/>
    <w:uiPriority w:val="99"/>
    <w:rsid w:val="00D30342"/>
    <w:pPr>
      <w:tabs>
        <w:tab w:val="center" w:pos="4153"/>
        <w:tab w:val="right" w:pos="8306"/>
      </w:tabs>
    </w:pPr>
    <w:rPr>
      <w:rFonts w:ascii="Arial" w:eastAsia="Times New Roman" w:hAnsi="Arial"/>
      <w:bCs/>
      <w:sz w:val="24"/>
      <w:szCs w:val="24"/>
      <w:lang w:eastAsia="en-US"/>
    </w:rPr>
  </w:style>
  <w:style w:type="character" w:customStyle="1" w:styleId="FooterChar">
    <w:name w:val="Footer Char"/>
    <w:basedOn w:val="DefaultParagraphFont"/>
    <w:link w:val="Footer"/>
    <w:uiPriority w:val="99"/>
    <w:rsid w:val="00D30342"/>
    <w:rPr>
      <w:rFonts w:ascii="Arial" w:eastAsia="Times New Roman" w:hAnsi="Arial" w:cs="Times New Roman"/>
      <w:bCs/>
      <w:sz w:val="24"/>
      <w:szCs w:val="24"/>
    </w:rPr>
  </w:style>
  <w:style w:type="paragraph" w:styleId="Header">
    <w:name w:val="header"/>
    <w:basedOn w:val="Normal"/>
    <w:link w:val="HeaderChar"/>
    <w:rsid w:val="00D30342"/>
    <w:pPr>
      <w:tabs>
        <w:tab w:val="center" w:pos="4153"/>
        <w:tab w:val="right" w:pos="8306"/>
      </w:tabs>
    </w:pPr>
    <w:rPr>
      <w:rFonts w:ascii="Arial" w:eastAsia="Times New Roman" w:hAnsi="Arial"/>
      <w:bCs/>
      <w:sz w:val="24"/>
      <w:szCs w:val="24"/>
      <w:lang w:eastAsia="en-US"/>
    </w:rPr>
  </w:style>
  <w:style w:type="character" w:customStyle="1" w:styleId="HeaderChar">
    <w:name w:val="Header Char"/>
    <w:basedOn w:val="DefaultParagraphFont"/>
    <w:link w:val="Header"/>
    <w:rsid w:val="00D30342"/>
    <w:rPr>
      <w:rFonts w:ascii="Arial" w:eastAsia="Times New Roman" w:hAnsi="Arial" w:cs="Times New Roman"/>
      <w:bCs/>
      <w:sz w:val="24"/>
      <w:szCs w:val="24"/>
    </w:rPr>
  </w:style>
  <w:style w:type="character" w:styleId="PageNumber">
    <w:name w:val="page number"/>
    <w:basedOn w:val="DefaultParagraphFont"/>
    <w:rsid w:val="00D30342"/>
  </w:style>
  <w:style w:type="paragraph" w:styleId="BalloonText">
    <w:name w:val="Balloon Text"/>
    <w:basedOn w:val="Normal"/>
    <w:link w:val="BalloonTextChar"/>
    <w:uiPriority w:val="99"/>
    <w:semiHidden/>
    <w:unhideWhenUsed/>
    <w:rsid w:val="00D30342"/>
    <w:rPr>
      <w:rFonts w:ascii="Tahoma" w:hAnsi="Tahoma" w:cs="Tahoma"/>
      <w:sz w:val="16"/>
      <w:szCs w:val="16"/>
    </w:rPr>
  </w:style>
  <w:style w:type="character" w:customStyle="1" w:styleId="BalloonTextChar">
    <w:name w:val="Balloon Text Char"/>
    <w:basedOn w:val="DefaultParagraphFont"/>
    <w:link w:val="BalloonText"/>
    <w:uiPriority w:val="99"/>
    <w:semiHidden/>
    <w:rsid w:val="00D30342"/>
    <w:rPr>
      <w:rFonts w:ascii="Tahoma" w:hAnsi="Tahoma" w:cs="Tahoma"/>
      <w:sz w:val="16"/>
      <w:szCs w:val="16"/>
      <w:lang w:eastAsia="en-AU"/>
    </w:rPr>
  </w:style>
  <w:style w:type="paragraph" w:styleId="ListParagraph">
    <w:name w:val="List Paragraph"/>
    <w:basedOn w:val="Normal"/>
    <w:uiPriority w:val="34"/>
    <w:qFormat/>
    <w:rsid w:val="00E53E0D"/>
    <w:pPr>
      <w:spacing w:after="200" w:line="276" w:lineRule="auto"/>
      <w:ind w:left="720"/>
      <w:contextualSpacing/>
    </w:pPr>
    <w:rPr>
      <w:lang w:val="en-US" w:eastAsia="en-US"/>
    </w:rPr>
  </w:style>
  <w:style w:type="paragraph" w:styleId="Index1">
    <w:name w:val="index 1"/>
    <w:basedOn w:val="Normal"/>
    <w:next w:val="Normal"/>
    <w:autoRedefine/>
    <w:uiPriority w:val="99"/>
    <w:semiHidden/>
    <w:unhideWhenUsed/>
    <w:rsid w:val="00C17FB9"/>
    <w:pPr>
      <w:ind w:left="220" w:hanging="220"/>
    </w:pPr>
  </w:style>
  <w:style w:type="paragraph" w:styleId="IndexHeading">
    <w:name w:val="index heading"/>
    <w:basedOn w:val="Normal"/>
    <w:next w:val="Index1"/>
    <w:semiHidden/>
    <w:rsid w:val="00C17FB9"/>
    <w:pPr>
      <w:spacing w:before="240" w:after="120"/>
      <w:jc w:val="center"/>
    </w:pPr>
    <w:rPr>
      <w:rFonts w:eastAsia="Times New Roman"/>
      <w:b/>
      <w:bCs/>
      <w:sz w:val="26"/>
      <w:szCs w:val="26"/>
      <w:lang w:eastAsia="en-US"/>
    </w:rPr>
  </w:style>
  <w:style w:type="character" w:styleId="Hyperlink">
    <w:name w:val="Hyperlink"/>
    <w:basedOn w:val="DefaultParagraphFont"/>
    <w:uiPriority w:val="99"/>
    <w:unhideWhenUsed/>
    <w:rsid w:val="009F43B3"/>
    <w:rPr>
      <w:color w:val="0000FF" w:themeColor="hyperlink"/>
      <w:u w:val="single"/>
    </w:rPr>
  </w:style>
  <w:style w:type="character" w:styleId="FollowedHyperlink">
    <w:name w:val="FollowedHyperlink"/>
    <w:basedOn w:val="DefaultParagraphFont"/>
    <w:uiPriority w:val="99"/>
    <w:semiHidden/>
    <w:unhideWhenUsed/>
    <w:rsid w:val="009F43B3"/>
    <w:rPr>
      <w:color w:val="800080" w:themeColor="followedHyperlink"/>
      <w:u w:val="single"/>
    </w:rPr>
  </w:style>
  <w:style w:type="table" w:styleId="TableGrid">
    <w:name w:val="Table Grid"/>
    <w:basedOn w:val="TableNormal"/>
    <w:uiPriority w:val="59"/>
    <w:rsid w:val="00FE2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05FBE"/>
    <w:rPr>
      <w:rFonts w:asciiTheme="majorHAnsi" w:eastAsiaTheme="majorEastAsia" w:hAnsiTheme="majorHAnsi" w:cstheme="majorBidi"/>
      <w:color w:val="365F91" w:themeColor="accent1" w:themeShade="BF"/>
      <w:sz w:val="26"/>
      <w:szCs w:val="26"/>
    </w:rPr>
  </w:style>
  <w:style w:type="paragraph" w:customStyle="1" w:styleId="Bullet1">
    <w:name w:val="Bullet 1"/>
    <w:uiPriority w:val="1"/>
    <w:qFormat/>
    <w:rsid w:val="00F05FBE"/>
    <w:pPr>
      <w:numPr>
        <w:numId w:val="24"/>
      </w:numPr>
      <w:spacing w:before="60" w:after="60" w:line="280" w:lineRule="atLeast"/>
    </w:pPr>
    <w:rPr>
      <w:rFonts w:asciiTheme="minorHAnsi" w:eastAsia="Times New Roman" w:hAnsiTheme="minorHAnsi" w:cs="Calibri"/>
      <w:spacing w:val="2"/>
    </w:rPr>
  </w:style>
  <w:style w:type="paragraph" w:customStyle="1" w:styleId="Bullet2">
    <w:name w:val="Bullet 2"/>
    <w:basedOn w:val="Bullet1"/>
    <w:uiPriority w:val="1"/>
    <w:qFormat/>
    <w:rsid w:val="00F05FBE"/>
    <w:pPr>
      <w:numPr>
        <w:ilvl w:val="1"/>
      </w:numPr>
    </w:pPr>
  </w:style>
  <w:style w:type="paragraph" w:customStyle="1" w:styleId="Normalfollowingheading">
    <w:name w:val="Normal following heading"/>
    <w:basedOn w:val="Normal"/>
    <w:next w:val="Normal"/>
    <w:uiPriority w:val="1"/>
    <w:qFormat/>
    <w:rsid w:val="00F05FBE"/>
    <w:pPr>
      <w:spacing w:after="160" w:line="280" w:lineRule="atLeast"/>
    </w:pPr>
    <w:rPr>
      <w:rFonts w:asciiTheme="minorHAnsi" w:eastAsiaTheme="minorEastAsia"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tyandquality.gov.au/wp-content/uploads/2013/03/Australian-Open-Disclosure-Framework-Feb-2014.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wp-content/uploads/2012/01/credentl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dicalboard.gov.au/Registration-Standard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8ED56-1AC9-420A-9229-FBC4F8FE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4124</Words>
  <Characters>23509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Suzanne George</cp:lastModifiedBy>
  <cp:revision>12</cp:revision>
  <cp:lastPrinted>2021-06-29T05:12:00Z</cp:lastPrinted>
  <dcterms:created xsi:type="dcterms:W3CDTF">2021-05-19T03:53:00Z</dcterms:created>
  <dcterms:modified xsi:type="dcterms:W3CDTF">2021-06-29T05:16:00Z</dcterms:modified>
</cp:coreProperties>
</file>